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B8069D4" w14:textId="77777777" w:rsidR="00401382" w:rsidRDefault="00000000">
      <w:pPr>
        <w:spacing w:after="0" w:line="240" w:lineRule="auto"/>
        <w:jc w:val="center"/>
        <w:rPr>
          <w:rFonts w:ascii="Arial" w:hAnsi="Arial"/>
          <w:b/>
          <w:lang w:val="pt-BR"/>
        </w:rPr>
      </w:pPr>
      <w:r>
        <w:rPr>
          <w:rFonts w:ascii="Arial" w:hAnsi="Arial"/>
          <w:b/>
          <w:lang w:val="pt-BR"/>
        </w:rPr>
        <w:t>MEMORANDO</w:t>
      </w:r>
    </w:p>
    <w:p w14:paraId="0868DB16" w14:textId="77777777" w:rsidR="00401382" w:rsidRDefault="00000000">
      <w:pPr>
        <w:spacing w:after="0" w:line="240" w:lineRule="auto"/>
        <w:rPr>
          <w:rFonts w:ascii="Arial" w:hAnsi="Arial"/>
          <w:b/>
        </w:rPr>
      </w:pPr>
      <w:r>
        <w:rPr>
          <w:rFonts w:ascii="Arial" w:hAnsi="Arial"/>
          <w:lang w:val="pt-BR"/>
        </w:rPr>
        <w:t xml:space="preserve">Bogotá, D.C. </w:t>
      </w:r>
    </w:p>
    <w:p w14:paraId="39A99237" w14:textId="77777777" w:rsidR="00401382" w:rsidRDefault="00401382">
      <w:pPr>
        <w:spacing w:after="0" w:line="240" w:lineRule="auto"/>
        <w:rPr>
          <w:rFonts w:ascii="Arial" w:hAnsi="Arial"/>
          <w:b/>
        </w:rPr>
      </w:pPr>
    </w:p>
    <w:p w14:paraId="395B1CCD" w14:textId="77777777" w:rsidR="00401382" w:rsidRDefault="00000000">
      <w:pPr>
        <w:spacing w:after="0" w:line="240" w:lineRule="auto"/>
        <w:jc w:val="both"/>
        <w:rPr>
          <w:rFonts w:ascii="Arial" w:hAnsi="Arial"/>
          <w:b/>
        </w:rPr>
      </w:pPr>
      <w:r>
        <w:rPr>
          <w:rFonts w:ascii="Arial" w:hAnsi="Arial"/>
          <w:b/>
        </w:rPr>
        <w:t>PARA:</w:t>
      </w:r>
      <w:r>
        <w:rPr>
          <w:rFonts w:ascii="Arial" w:hAnsi="Arial"/>
          <w:b/>
        </w:rPr>
        <w:tab/>
      </w:r>
      <w:r>
        <w:rPr>
          <w:rFonts w:ascii="Arial" w:hAnsi="Arial"/>
          <w:b/>
        </w:rPr>
        <w:tab/>
        <w:t>JAIME ALONSO GARCÍA NAVARRO</w:t>
      </w:r>
    </w:p>
    <w:p w14:paraId="776CAF9F" w14:textId="77777777" w:rsidR="00401382" w:rsidRDefault="00000000">
      <w:pPr>
        <w:spacing w:after="0" w:line="240" w:lineRule="auto"/>
        <w:ind w:left="708" w:firstLine="708"/>
        <w:jc w:val="both"/>
        <w:rPr>
          <w:rFonts w:ascii="Arial" w:hAnsi="Arial"/>
          <w:b/>
        </w:rPr>
      </w:pPr>
      <w:r>
        <w:rPr>
          <w:rFonts w:ascii="Arial" w:hAnsi="Arial"/>
        </w:rPr>
        <w:t>Jefe Oficina de Control Disciplinario Interno</w:t>
      </w:r>
    </w:p>
    <w:p w14:paraId="1F9A6E16" w14:textId="77777777" w:rsidR="00401382" w:rsidRDefault="00000000">
      <w:pPr>
        <w:spacing w:after="0" w:line="240" w:lineRule="auto"/>
        <w:jc w:val="both"/>
        <w:rPr>
          <w:rFonts w:ascii="Arial" w:hAnsi="Arial"/>
          <w:b/>
        </w:rPr>
      </w:pPr>
      <w:r>
        <w:rPr>
          <w:rFonts w:ascii="Arial" w:hAnsi="Arial"/>
          <w:b/>
        </w:rPr>
        <w:tab/>
      </w:r>
    </w:p>
    <w:p w14:paraId="027DF71F" w14:textId="77777777" w:rsidR="00401382" w:rsidRDefault="00000000">
      <w:pPr>
        <w:spacing w:after="0" w:line="240" w:lineRule="auto"/>
        <w:jc w:val="both"/>
        <w:rPr>
          <w:rFonts w:ascii="Arial" w:hAnsi="Arial"/>
          <w:b/>
        </w:rPr>
      </w:pPr>
      <w:r>
        <w:rPr>
          <w:rFonts w:ascii="Arial" w:hAnsi="Arial"/>
          <w:b/>
        </w:rPr>
        <w:t>DE:</w:t>
      </w:r>
      <w:r>
        <w:rPr>
          <w:rFonts w:ascii="Arial" w:hAnsi="Arial"/>
          <w:b/>
        </w:rPr>
        <w:tab/>
      </w:r>
      <w:r>
        <w:rPr>
          <w:rFonts w:ascii="Arial" w:hAnsi="Arial"/>
          <w:b/>
        </w:rPr>
        <w:tab/>
        <w:t>NANCY STELLA PATIÑO LEON</w:t>
      </w:r>
    </w:p>
    <w:p w14:paraId="357E0B6C" w14:textId="77777777" w:rsidR="00401382" w:rsidRDefault="00000000">
      <w:pPr>
        <w:spacing w:after="0" w:line="240" w:lineRule="auto"/>
        <w:ind w:left="708" w:firstLine="708"/>
        <w:jc w:val="both"/>
        <w:rPr>
          <w:rFonts w:ascii="Arial" w:hAnsi="Arial"/>
          <w:b/>
        </w:rPr>
      </w:pPr>
      <w:r>
        <w:rPr>
          <w:rFonts w:ascii="Arial" w:hAnsi="Arial"/>
        </w:rPr>
        <w:t>Secretaria General</w:t>
      </w:r>
    </w:p>
    <w:p w14:paraId="3F88F9B1" w14:textId="77777777" w:rsidR="00401382" w:rsidRDefault="00000000">
      <w:pPr>
        <w:spacing w:after="0" w:line="240" w:lineRule="auto"/>
        <w:jc w:val="both"/>
        <w:rPr>
          <w:rFonts w:ascii="Arial" w:hAnsi="Arial"/>
          <w:b/>
        </w:rPr>
      </w:pPr>
      <w:r>
        <w:rPr>
          <w:rFonts w:ascii="Arial" w:hAnsi="Arial"/>
          <w:b/>
        </w:rPr>
        <w:tab/>
      </w:r>
    </w:p>
    <w:p w14:paraId="04DFC269" w14:textId="77777777" w:rsidR="00401382" w:rsidRDefault="00000000">
      <w:pPr>
        <w:spacing w:after="0" w:line="240" w:lineRule="auto"/>
        <w:ind w:left="1416" w:hanging="1416"/>
        <w:jc w:val="both"/>
        <w:rPr>
          <w:rFonts w:ascii="Arial" w:hAnsi="Arial"/>
          <w:b/>
        </w:rPr>
      </w:pPr>
      <w:r>
        <w:rPr>
          <w:rFonts w:ascii="Arial" w:hAnsi="Arial"/>
          <w:b/>
        </w:rPr>
        <w:t>ASUNTO:</w:t>
      </w:r>
      <w:r>
        <w:rPr>
          <w:rFonts w:ascii="Arial" w:hAnsi="Arial"/>
          <w:b/>
        </w:rPr>
        <w:tab/>
        <w:t>REMISIÓN DE INFORMACIÓN REQUERIDA DENTRO DEL  EXPEDIENTE DISCIPLINARIO No. 093-2026, BAJO EL RADICADO ID 762567 DEL 12 DE MAYO DE 2026.</w:t>
      </w:r>
    </w:p>
    <w:p w14:paraId="1731F816" w14:textId="77777777" w:rsidR="00401382" w:rsidRDefault="00000000">
      <w:pPr>
        <w:spacing w:after="0" w:line="240" w:lineRule="auto"/>
        <w:jc w:val="both"/>
        <w:rPr>
          <w:rFonts w:ascii="Arial" w:hAnsi="Arial"/>
          <w:b/>
        </w:rPr>
      </w:pPr>
      <w:r>
        <w:rPr>
          <w:rFonts w:ascii="Arial" w:hAnsi="Arial"/>
          <w:b/>
        </w:rPr>
        <w:t xml:space="preserve"> </w:t>
      </w:r>
    </w:p>
    <w:p w14:paraId="73071179" w14:textId="77777777" w:rsidR="00401382" w:rsidRDefault="00000000">
      <w:pPr>
        <w:spacing w:after="0" w:line="240" w:lineRule="auto"/>
        <w:jc w:val="both"/>
        <w:rPr>
          <w:rFonts w:ascii="Arial" w:hAnsi="Arial"/>
        </w:rPr>
      </w:pPr>
      <w:r>
        <w:rPr>
          <w:rFonts w:ascii="Arial" w:hAnsi="Arial"/>
        </w:rPr>
        <w:t>Cordial Saludo.</w:t>
      </w:r>
    </w:p>
    <w:p w14:paraId="7136329C" w14:textId="77777777" w:rsidR="00401382" w:rsidRDefault="00000000">
      <w:pPr>
        <w:spacing w:after="0" w:line="240" w:lineRule="auto"/>
        <w:jc w:val="both"/>
        <w:rPr>
          <w:rFonts w:ascii="Arial" w:hAnsi="Arial"/>
        </w:rPr>
      </w:pPr>
      <w:r>
        <w:rPr>
          <w:rFonts w:ascii="Arial" w:hAnsi="Arial"/>
        </w:rPr>
        <w:t xml:space="preserve"> </w:t>
      </w:r>
    </w:p>
    <w:p w14:paraId="47407AD7" w14:textId="77777777" w:rsidR="00401382" w:rsidRDefault="00000000">
      <w:pPr>
        <w:spacing w:after="0" w:line="240" w:lineRule="auto"/>
        <w:jc w:val="both"/>
        <w:rPr>
          <w:rFonts w:ascii="Arial" w:hAnsi="Arial"/>
        </w:rPr>
      </w:pPr>
      <w:r>
        <w:rPr>
          <w:rFonts w:ascii="Arial" w:hAnsi="Arial"/>
        </w:rPr>
        <w:t>En atención al requerimiento de información realizado por parte de la Oficina de Control Disciplinario Interno del Ministerio del Interior, en virtud del auto de apertura de indagación previa del 30 de abril de 2026 proferido dentro del expediente disciplinario referenciado, de manera respetuosa me permito remitir la información solicitada, conforme a lo requerido, en los siguientes términos:</w:t>
      </w:r>
    </w:p>
    <w:p w14:paraId="0FB560CD" w14:textId="77777777" w:rsidR="00401382" w:rsidRDefault="00000000">
      <w:pPr>
        <w:spacing w:after="0" w:line="240" w:lineRule="auto"/>
        <w:jc w:val="both"/>
        <w:rPr>
          <w:rFonts w:ascii="Arial" w:hAnsi="Arial"/>
          <w:b/>
        </w:rPr>
      </w:pPr>
      <w:r>
        <w:rPr>
          <w:rFonts w:ascii="Arial" w:hAnsi="Arial"/>
        </w:rPr>
        <w:t xml:space="preserve"> </w:t>
      </w:r>
    </w:p>
    <w:p w14:paraId="3C4F5205" w14:textId="77777777" w:rsidR="00401382" w:rsidRDefault="00000000">
      <w:pPr>
        <w:spacing w:after="0" w:line="240" w:lineRule="auto"/>
        <w:ind w:hanging="360"/>
        <w:jc w:val="both"/>
        <w:rPr>
          <w:rFonts w:ascii="Arial" w:hAnsi="Arial"/>
          <w:b/>
        </w:rPr>
      </w:pPr>
      <w:r>
        <w:rPr>
          <w:rFonts w:ascii="Arial" w:hAnsi="Arial"/>
          <w:b/>
        </w:rPr>
        <w:t>a.</w:t>
      </w:r>
      <w:r>
        <w:rPr>
          <w:rFonts w:ascii="Times New Roman" w:hAnsi="Times New Roman"/>
          <w:b/>
          <w:sz w:val="12"/>
        </w:rPr>
        <w:tab/>
      </w:r>
      <w:r>
        <w:rPr>
          <w:rFonts w:ascii="Arial" w:hAnsi="Arial"/>
          <w:b/>
        </w:rPr>
        <w:t>Copia de la Resolución 150 de 2021 y de todas las resoluciones de delegación de la ordenación del gasto vigentes para la fecha de los hechos (10 de marzo de 2026), con el fin de establecer con exactitud la competencia funcional para el pago de sentencias y conciliaciones.</w:t>
      </w:r>
    </w:p>
    <w:p w14:paraId="4A0A5079" w14:textId="77777777" w:rsidR="00401382" w:rsidRDefault="00000000">
      <w:pPr>
        <w:spacing w:after="0" w:line="240" w:lineRule="auto"/>
        <w:jc w:val="both"/>
        <w:rPr>
          <w:rFonts w:ascii="Arial" w:hAnsi="Arial"/>
        </w:rPr>
      </w:pPr>
      <w:r>
        <w:rPr>
          <w:rFonts w:ascii="Arial" w:hAnsi="Arial"/>
          <w:b/>
        </w:rPr>
        <w:t xml:space="preserve"> </w:t>
      </w:r>
    </w:p>
    <w:p w14:paraId="08BE16D0" w14:textId="77777777" w:rsidR="00401382" w:rsidRDefault="00000000">
      <w:pPr>
        <w:spacing w:after="0" w:line="240" w:lineRule="auto"/>
        <w:jc w:val="both"/>
        <w:rPr>
          <w:rFonts w:ascii="Arial" w:hAnsi="Arial"/>
        </w:rPr>
      </w:pPr>
      <w:r>
        <w:rPr>
          <w:rFonts w:ascii="Arial" w:hAnsi="Arial"/>
        </w:rPr>
        <w:t>De manera respetuosa me permito remitir los siguientes actos administrativos vigentes para la época de las actuaciones objeto de indagación:</w:t>
      </w:r>
    </w:p>
    <w:p w14:paraId="7F7DEFC4" w14:textId="77777777" w:rsidR="00401382" w:rsidRDefault="00000000">
      <w:pPr>
        <w:spacing w:after="0" w:line="240" w:lineRule="auto"/>
        <w:jc w:val="both"/>
        <w:rPr>
          <w:rFonts w:ascii="Arial" w:hAnsi="Arial"/>
        </w:rPr>
      </w:pPr>
      <w:r>
        <w:rPr>
          <w:rFonts w:ascii="Arial" w:hAnsi="Arial"/>
        </w:rPr>
        <w:t xml:space="preserve"> </w:t>
      </w:r>
    </w:p>
    <w:p w14:paraId="1D6439FA" w14:textId="77777777" w:rsidR="00401382" w:rsidRDefault="00000000">
      <w:pPr>
        <w:spacing w:line="240" w:lineRule="auto"/>
        <w:ind w:left="540" w:hanging="360"/>
        <w:jc w:val="both"/>
        <w:rPr>
          <w:rFonts w:ascii="Arial" w:hAnsi="Arial"/>
          <w:sz w:val="20"/>
        </w:rPr>
      </w:pPr>
      <w:r>
        <w:rPr>
          <w:rFonts w:ascii="Arial" w:hAnsi="Arial"/>
          <w:sz w:val="20"/>
        </w:rPr>
        <w:t>1.</w:t>
      </w:r>
      <w:r>
        <w:rPr>
          <w:rFonts w:ascii="Times New Roman" w:hAnsi="Times New Roman"/>
          <w:sz w:val="10"/>
        </w:rPr>
        <w:tab/>
      </w:r>
      <w:r>
        <w:rPr>
          <w:rFonts w:ascii="Arial" w:hAnsi="Arial"/>
          <w:sz w:val="20"/>
        </w:rPr>
        <w:t>Resolución 1265 del 4 de noviembre de 2020 “</w:t>
      </w:r>
      <w:r>
        <w:rPr>
          <w:rFonts w:ascii="Arial" w:hAnsi="Arial"/>
          <w:i/>
          <w:sz w:val="20"/>
        </w:rPr>
        <w:t>Por la cual se efectúan unas delegaciones, se deroga la Resolución No. 105 de 2020 y se dictan otras disposiciones</w:t>
      </w:r>
      <w:r>
        <w:rPr>
          <w:rFonts w:ascii="Arial" w:hAnsi="Arial"/>
          <w:sz w:val="20"/>
        </w:rPr>
        <w:t>”</w:t>
      </w:r>
    </w:p>
    <w:p w14:paraId="2910E465" w14:textId="77777777" w:rsidR="00401382" w:rsidRDefault="00000000">
      <w:pPr>
        <w:spacing w:line="240" w:lineRule="auto"/>
        <w:ind w:left="540" w:hanging="360"/>
        <w:jc w:val="both"/>
        <w:rPr>
          <w:rFonts w:ascii="Arial" w:hAnsi="Arial"/>
          <w:sz w:val="20"/>
        </w:rPr>
      </w:pPr>
      <w:r>
        <w:rPr>
          <w:rFonts w:ascii="Arial" w:hAnsi="Arial"/>
          <w:sz w:val="20"/>
        </w:rPr>
        <w:t>2.</w:t>
      </w:r>
      <w:r>
        <w:rPr>
          <w:rFonts w:ascii="Times New Roman" w:hAnsi="Times New Roman"/>
          <w:sz w:val="10"/>
        </w:rPr>
        <w:tab/>
      </w:r>
      <w:r>
        <w:rPr>
          <w:rFonts w:ascii="Arial" w:hAnsi="Arial"/>
          <w:sz w:val="20"/>
        </w:rPr>
        <w:t>Resolución 150 del 1 de febrero de 2021 “</w:t>
      </w:r>
      <w:r>
        <w:rPr>
          <w:rFonts w:ascii="Arial" w:hAnsi="Arial"/>
          <w:i/>
          <w:sz w:val="20"/>
        </w:rPr>
        <w:t>Por la cual se efectúan unas delegaciones y se dictan otras disposiciones</w:t>
      </w:r>
      <w:r>
        <w:rPr>
          <w:rFonts w:ascii="Arial" w:hAnsi="Arial"/>
          <w:sz w:val="20"/>
        </w:rPr>
        <w:t>”.</w:t>
      </w:r>
    </w:p>
    <w:p w14:paraId="0816AF7E" w14:textId="77777777" w:rsidR="00401382" w:rsidRDefault="00000000">
      <w:pPr>
        <w:spacing w:line="240" w:lineRule="auto"/>
        <w:ind w:left="540" w:hanging="360"/>
        <w:jc w:val="both"/>
        <w:rPr>
          <w:rFonts w:ascii="Arial" w:hAnsi="Arial"/>
          <w:sz w:val="20"/>
        </w:rPr>
      </w:pPr>
      <w:r>
        <w:rPr>
          <w:rFonts w:ascii="Arial" w:hAnsi="Arial"/>
          <w:sz w:val="20"/>
        </w:rPr>
        <w:t>3.</w:t>
      </w:r>
      <w:r>
        <w:rPr>
          <w:rFonts w:ascii="Times New Roman" w:hAnsi="Times New Roman"/>
          <w:sz w:val="10"/>
        </w:rPr>
        <w:tab/>
      </w:r>
      <w:r>
        <w:rPr>
          <w:rFonts w:ascii="Arial" w:hAnsi="Arial"/>
          <w:sz w:val="20"/>
        </w:rPr>
        <w:t>Resolución 1153 del 18 de julio de 2024 “</w:t>
      </w:r>
      <w:r>
        <w:rPr>
          <w:rFonts w:ascii="Arial" w:hAnsi="Arial"/>
          <w:i/>
          <w:sz w:val="20"/>
        </w:rPr>
        <w:t>Por la cual se adiciona el artículo 1º a la Resolución 0150 del 1 de febrero de 2021, relacionado con una delegación y se dictan otras disposiciones</w:t>
      </w:r>
      <w:r>
        <w:rPr>
          <w:rFonts w:ascii="Arial" w:hAnsi="Arial"/>
          <w:sz w:val="20"/>
        </w:rPr>
        <w:t>”.</w:t>
      </w:r>
    </w:p>
    <w:p w14:paraId="69571C1C" w14:textId="77777777" w:rsidR="00401382" w:rsidRDefault="00000000">
      <w:pPr>
        <w:spacing w:after="0" w:line="240" w:lineRule="auto"/>
        <w:ind w:left="540" w:hanging="360"/>
        <w:jc w:val="both"/>
        <w:rPr>
          <w:rFonts w:ascii="Arial" w:hAnsi="Arial"/>
        </w:rPr>
      </w:pPr>
      <w:r>
        <w:rPr>
          <w:rFonts w:ascii="Arial" w:hAnsi="Arial"/>
          <w:sz w:val="20"/>
        </w:rPr>
        <w:t>4.</w:t>
      </w:r>
      <w:r>
        <w:rPr>
          <w:rFonts w:ascii="Times New Roman" w:hAnsi="Times New Roman"/>
          <w:sz w:val="10"/>
        </w:rPr>
        <w:tab/>
      </w:r>
      <w:r>
        <w:rPr>
          <w:rFonts w:ascii="Arial" w:hAnsi="Arial"/>
          <w:sz w:val="20"/>
        </w:rPr>
        <w:t>Resolución 2062 del 8 de noviembre de 2024 “</w:t>
      </w:r>
      <w:r>
        <w:rPr>
          <w:rFonts w:ascii="Arial" w:hAnsi="Arial"/>
          <w:i/>
          <w:sz w:val="20"/>
        </w:rPr>
        <w:t xml:space="preserve">Por la cual se modifica el artículo 5º de la Resolución 0150 del 1 de febrero de 2021, adicionando el </w:t>
      </w:r>
      <w:proofErr w:type="spellStart"/>
      <w:r>
        <w:rPr>
          <w:rFonts w:ascii="Arial" w:hAnsi="Arial"/>
          <w:i/>
          <w:sz w:val="20"/>
        </w:rPr>
        <w:t>subnumeral</w:t>
      </w:r>
      <w:proofErr w:type="spellEnd"/>
      <w:r>
        <w:rPr>
          <w:rFonts w:ascii="Arial" w:hAnsi="Arial"/>
          <w:i/>
          <w:sz w:val="20"/>
        </w:rPr>
        <w:t xml:space="preserve"> 5.3, relacionado con una delegación y se dictan otras disposiciones</w:t>
      </w:r>
      <w:r>
        <w:rPr>
          <w:rFonts w:ascii="Arial" w:hAnsi="Arial"/>
          <w:sz w:val="20"/>
        </w:rPr>
        <w:t>”.</w:t>
      </w:r>
    </w:p>
    <w:p w14:paraId="4DDE45DF" w14:textId="77777777" w:rsidR="00401382" w:rsidRDefault="00000000">
      <w:pPr>
        <w:spacing w:after="0" w:line="240" w:lineRule="auto"/>
        <w:jc w:val="both"/>
        <w:rPr>
          <w:rFonts w:ascii="Arial" w:hAnsi="Arial"/>
        </w:rPr>
      </w:pPr>
      <w:r>
        <w:rPr>
          <w:rFonts w:ascii="Arial" w:hAnsi="Arial"/>
        </w:rPr>
        <w:t xml:space="preserve"> </w:t>
      </w:r>
    </w:p>
    <w:p w14:paraId="632B64D6" w14:textId="77777777" w:rsidR="00401382" w:rsidRDefault="00000000">
      <w:pPr>
        <w:spacing w:after="0" w:line="240" w:lineRule="auto"/>
        <w:jc w:val="both"/>
        <w:rPr>
          <w:rFonts w:ascii="Arial" w:hAnsi="Arial"/>
          <w:b/>
        </w:rPr>
      </w:pPr>
      <w:r>
        <w:rPr>
          <w:rFonts w:ascii="Arial" w:hAnsi="Arial"/>
          <w:b/>
        </w:rPr>
        <w:t xml:space="preserve"> </w:t>
      </w:r>
    </w:p>
    <w:p w14:paraId="12C84401" w14:textId="77777777" w:rsidR="00401382" w:rsidRDefault="00401382">
      <w:pPr>
        <w:spacing w:after="0" w:line="240" w:lineRule="auto"/>
        <w:jc w:val="both"/>
        <w:rPr>
          <w:rFonts w:ascii="Arial" w:hAnsi="Arial"/>
          <w:b/>
        </w:rPr>
      </w:pPr>
    </w:p>
    <w:p w14:paraId="27E5A12C" w14:textId="77777777" w:rsidR="00401382" w:rsidRDefault="00401382">
      <w:pPr>
        <w:spacing w:after="0" w:line="240" w:lineRule="auto"/>
        <w:jc w:val="both"/>
        <w:rPr>
          <w:rFonts w:ascii="Arial" w:hAnsi="Arial"/>
          <w:b/>
        </w:rPr>
      </w:pPr>
    </w:p>
    <w:p w14:paraId="2F64E16A" w14:textId="77777777" w:rsidR="00401382" w:rsidRDefault="00000000">
      <w:pPr>
        <w:spacing w:after="0" w:line="240" w:lineRule="auto"/>
        <w:ind w:hanging="360"/>
        <w:jc w:val="both"/>
        <w:rPr>
          <w:rFonts w:ascii="Arial" w:hAnsi="Arial"/>
          <w:b/>
        </w:rPr>
      </w:pPr>
      <w:r>
        <w:rPr>
          <w:rFonts w:ascii="Arial" w:hAnsi="Arial"/>
          <w:b/>
        </w:rPr>
        <w:lastRenderedPageBreak/>
        <w:t>b.</w:t>
      </w:r>
      <w:r>
        <w:rPr>
          <w:rFonts w:ascii="Times New Roman" w:hAnsi="Times New Roman"/>
          <w:b/>
          <w:sz w:val="12"/>
        </w:rPr>
        <w:tab/>
      </w:r>
      <w:r>
        <w:rPr>
          <w:rFonts w:ascii="Arial" w:hAnsi="Arial"/>
          <w:b/>
        </w:rPr>
        <w:t>Copia del Memorando Radicado 2026-3-001404-012254 del 1.º de abril de 2026, expedido por la Dirección Jurídica del Ministerio, con todos sus anexos y antecedentes.</w:t>
      </w:r>
    </w:p>
    <w:p w14:paraId="4C285D79" w14:textId="77777777" w:rsidR="00401382" w:rsidRDefault="00000000">
      <w:pPr>
        <w:spacing w:after="0" w:line="240" w:lineRule="auto"/>
        <w:jc w:val="both"/>
        <w:rPr>
          <w:rFonts w:ascii="Arial" w:hAnsi="Arial"/>
          <w:b/>
        </w:rPr>
      </w:pPr>
      <w:r>
        <w:rPr>
          <w:rFonts w:ascii="Arial" w:hAnsi="Arial"/>
          <w:b/>
        </w:rPr>
        <w:t xml:space="preserve"> </w:t>
      </w:r>
    </w:p>
    <w:p w14:paraId="4396CD1D" w14:textId="77777777" w:rsidR="00401382" w:rsidRDefault="00000000">
      <w:pPr>
        <w:spacing w:after="0" w:line="240" w:lineRule="auto"/>
        <w:jc w:val="both"/>
        <w:rPr>
          <w:rFonts w:ascii="Arial" w:hAnsi="Arial"/>
          <w:b/>
          <w:sz w:val="24"/>
        </w:rPr>
      </w:pPr>
      <w:r>
        <w:rPr>
          <w:rFonts w:ascii="Arial" w:hAnsi="Arial"/>
        </w:rPr>
        <w:t>Conforme con lo solicitado, comedidamente se allega el Memorando con radicado No. 2026-3-001404-012254 del 1 de abril de 2026, expedido por el Dr. Juan Gabriel Durán Sánchez, en su calidad de Director Jurídico del Ministerio del Interior, sin anexos y antecedentes, como quiera que el mismo no relaciona ninguno, tal y como se observa a continuación:</w:t>
      </w:r>
    </w:p>
    <w:p w14:paraId="0B47A96E" w14:textId="77777777" w:rsidR="00401382" w:rsidRDefault="00000000">
      <w:pPr>
        <w:spacing w:after="0" w:line="240" w:lineRule="auto"/>
        <w:jc w:val="both"/>
        <w:rPr>
          <w:rFonts w:ascii="Arial" w:hAnsi="Arial"/>
          <w:b/>
          <w:sz w:val="24"/>
        </w:rPr>
      </w:pPr>
      <w:r>
        <w:rPr>
          <w:rFonts w:ascii="Arial" w:hAnsi="Arial"/>
          <w:b/>
          <w:sz w:val="24"/>
        </w:rPr>
        <w:t xml:space="preserve"> </w:t>
      </w:r>
    </w:p>
    <w:p w14:paraId="573B96E9" w14:textId="77777777" w:rsidR="00401382" w:rsidRDefault="00000000">
      <w:pPr>
        <w:spacing w:after="0" w:line="240" w:lineRule="auto"/>
        <w:jc w:val="center"/>
      </w:pPr>
      <w:r>
        <w:rPr>
          <w:noProof/>
        </w:rPr>
        <w:drawing>
          <wp:inline distT="0" distB="0" distL="0" distR="0" wp14:anchorId="2289D9C2" wp14:editId="1D73A0B9">
            <wp:extent cx="5591810" cy="2908935"/>
            <wp:effectExtent l="0" t="0" r="0"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7"/>
                    <a:stretch>
                      <a:fillRect/>
                    </a:stretch>
                  </pic:blipFill>
                  <pic:spPr>
                    <a:xfrm>
                      <a:off x="0" y="0"/>
                      <a:ext cx="5591810" cy="2908935"/>
                    </a:xfrm>
                    <a:prstGeom prst="rect">
                      <a:avLst/>
                    </a:prstGeom>
                    <a:noFill/>
                  </pic:spPr>
                </pic:pic>
              </a:graphicData>
            </a:graphic>
          </wp:inline>
        </w:drawing>
      </w:r>
    </w:p>
    <w:p w14:paraId="24193A18" w14:textId="77777777" w:rsidR="00401382" w:rsidRDefault="00401382">
      <w:pPr>
        <w:spacing w:after="0" w:line="240" w:lineRule="auto"/>
        <w:jc w:val="center"/>
        <w:rPr>
          <w:rFonts w:ascii="Arial" w:hAnsi="Arial"/>
          <w:b/>
          <w:sz w:val="24"/>
        </w:rPr>
      </w:pPr>
    </w:p>
    <w:p w14:paraId="76D66F33" w14:textId="77777777" w:rsidR="00401382" w:rsidRDefault="00000000">
      <w:pPr>
        <w:spacing w:after="0" w:line="240" w:lineRule="auto"/>
        <w:ind w:hanging="360"/>
        <w:jc w:val="both"/>
        <w:rPr>
          <w:rFonts w:ascii="Arial" w:hAnsi="Arial"/>
          <w:b/>
        </w:rPr>
      </w:pPr>
      <w:r>
        <w:rPr>
          <w:rFonts w:ascii="Arial" w:hAnsi="Arial"/>
          <w:b/>
        </w:rPr>
        <w:t>c.</w:t>
      </w:r>
      <w:r>
        <w:rPr>
          <w:rFonts w:ascii="Times New Roman" w:hAnsi="Times New Roman"/>
          <w:b/>
          <w:sz w:val="12"/>
        </w:rPr>
        <w:tab/>
      </w:r>
      <w:r>
        <w:rPr>
          <w:rFonts w:ascii="Arial" w:hAnsi="Arial"/>
          <w:b/>
        </w:rPr>
        <w:t>Informe sobre las gestiones adelantadas por la Secretaría General para garantizar el cumplimiento del fallo de tutela una vez se determinó el vicio de competencia de la Resolución No. 002 de 2026.</w:t>
      </w:r>
    </w:p>
    <w:p w14:paraId="1B74F87B" w14:textId="77777777" w:rsidR="00401382" w:rsidRDefault="00000000">
      <w:pPr>
        <w:spacing w:after="0" w:line="240" w:lineRule="auto"/>
        <w:jc w:val="both"/>
        <w:rPr>
          <w:rFonts w:ascii="Arial" w:hAnsi="Arial"/>
          <w:b/>
        </w:rPr>
      </w:pPr>
      <w:r>
        <w:rPr>
          <w:rFonts w:ascii="Arial" w:hAnsi="Arial"/>
          <w:b/>
        </w:rPr>
        <w:t xml:space="preserve"> </w:t>
      </w:r>
    </w:p>
    <w:p w14:paraId="716D5162" w14:textId="77777777" w:rsidR="00401382" w:rsidRDefault="00000000">
      <w:pPr>
        <w:spacing w:after="0" w:line="240" w:lineRule="auto"/>
        <w:jc w:val="both"/>
        <w:rPr>
          <w:rFonts w:ascii="Arial" w:hAnsi="Arial"/>
        </w:rPr>
      </w:pPr>
      <w:r>
        <w:rPr>
          <w:rFonts w:ascii="Arial" w:hAnsi="Arial"/>
        </w:rPr>
        <w:t>La Resolución No. 002 del 10 de marzo de 2026 “</w:t>
      </w:r>
      <w:r>
        <w:rPr>
          <w:rFonts w:ascii="Arial" w:hAnsi="Arial"/>
          <w:i/>
        </w:rPr>
        <w:t>Por medio de la cual se reconocen y ordenan el pago de los honorarios dejados de percibir a favor de la señora EILEEN VANESSA LIVINGSTON RAMÍREZ, en cumplimiento de una orden judicial</w:t>
      </w:r>
      <w:r>
        <w:rPr>
          <w:rFonts w:ascii="Arial" w:hAnsi="Arial"/>
        </w:rPr>
        <w:t xml:space="preserve">” fue recibida y comunicada el día 26 de marzo de 2026 mediante correo electrónico institucional, conforme consta en el asunto “Notificación resolución </w:t>
      </w:r>
      <w:proofErr w:type="spellStart"/>
      <w:r>
        <w:rPr>
          <w:rFonts w:ascii="Arial" w:hAnsi="Arial"/>
        </w:rPr>
        <w:t>N°</w:t>
      </w:r>
      <w:proofErr w:type="spellEnd"/>
      <w:r>
        <w:rPr>
          <w:rFonts w:ascii="Arial" w:hAnsi="Arial"/>
        </w:rPr>
        <w:t>. 002 del 10 de marzo de 2026”, actuación adelantada por la Dirección de la Autoridad Nacional de Consulta Previa y conforme con el correo electrónico remitido por la Secretaría General.</w:t>
      </w:r>
    </w:p>
    <w:p w14:paraId="09D8207B" w14:textId="77777777" w:rsidR="00401382" w:rsidRDefault="00000000">
      <w:pPr>
        <w:spacing w:after="0" w:line="240" w:lineRule="auto"/>
        <w:jc w:val="both"/>
        <w:rPr>
          <w:rFonts w:ascii="Arial" w:hAnsi="Arial"/>
        </w:rPr>
      </w:pPr>
      <w:r>
        <w:rPr>
          <w:rFonts w:ascii="Arial" w:hAnsi="Arial"/>
        </w:rPr>
        <w:t xml:space="preserve"> </w:t>
      </w:r>
    </w:p>
    <w:p w14:paraId="4362B62C" w14:textId="77777777" w:rsidR="00401382" w:rsidRDefault="00000000">
      <w:pPr>
        <w:spacing w:after="0" w:line="240" w:lineRule="auto"/>
        <w:jc w:val="both"/>
        <w:rPr>
          <w:rFonts w:ascii="Arial" w:hAnsi="Arial"/>
        </w:rPr>
      </w:pPr>
      <w:r>
        <w:rPr>
          <w:rFonts w:ascii="Arial" w:hAnsi="Arial"/>
        </w:rPr>
        <w:t xml:space="preserve">Con posterioridad a su comunicación, la Secretaría General y la Coordinación Financiera y Contable efectuaron revisión del acto administrativo, evidenciando que la Resolución No. 002 de 2026 había sido expedida por un funcionario que presuntamente no cuenta con </w:t>
      </w:r>
      <w:r>
        <w:rPr>
          <w:rFonts w:ascii="Arial" w:hAnsi="Arial"/>
        </w:rPr>
        <w:lastRenderedPageBreak/>
        <w:t>competencia para ordenar el gasto derivado del pago de sentencias judiciales, teniendo en cuenta las delegaciones contenidas en las Resoluciones 150 de 2021, 1153 de 2024 y 1265 de 2020. Igualmente, se evidenció que se estaba ordenando un gasto sin contar con el Certificado de Disponibilidad Presupuestal expedido, previo la asunción del compromiso.</w:t>
      </w:r>
    </w:p>
    <w:p w14:paraId="3CF38542" w14:textId="77777777" w:rsidR="00401382" w:rsidRDefault="00000000">
      <w:pPr>
        <w:spacing w:after="0" w:line="240" w:lineRule="auto"/>
        <w:jc w:val="both"/>
        <w:rPr>
          <w:rFonts w:ascii="Arial" w:hAnsi="Arial"/>
        </w:rPr>
      </w:pPr>
      <w:r>
        <w:rPr>
          <w:rFonts w:ascii="Arial" w:hAnsi="Arial"/>
        </w:rPr>
        <w:t xml:space="preserve"> </w:t>
      </w:r>
    </w:p>
    <w:p w14:paraId="654C158F" w14:textId="77777777" w:rsidR="00401382" w:rsidRDefault="00000000">
      <w:pPr>
        <w:spacing w:after="0" w:line="240" w:lineRule="auto"/>
        <w:jc w:val="both"/>
        <w:rPr>
          <w:rFonts w:ascii="Arial" w:hAnsi="Arial"/>
        </w:rPr>
      </w:pPr>
      <w:r>
        <w:rPr>
          <w:rFonts w:ascii="Arial" w:hAnsi="Arial"/>
        </w:rPr>
        <w:t>En efecto, el día 31 de marzo de 2026, la Secretaría General mediante correo electrónico dirigido al doctor Juan Gabriel Durán Sánchez, con copia a funcionarios de la Dirección de la Autoridad Nacional de Consulta Previa, Coordinación Financiera y Contable y demás dependencias relacionadas, informó el presunto vicio de competencia del acto administrativo expedido, y por consiguiente, solicitó a la Dirección Jurídica revisar las acciones administrativas y jurídicas necesarias para dar cumplimiento a la orden judicial, así:</w:t>
      </w:r>
    </w:p>
    <w:p w14:paraId="32E3EDF6" w14:textId="77777777" w:rsidR="00401382" w:rsidRDefault="00401382">
      <w:pPr>
        <w:spacing w:after="0" w:line="240" w:lineRule="auto"/>
        <w:jc w:val="both"/>
        <w:rPr>
          <w:rFonts w:ascii="Arial" w:hAnsi="Arial"/>
        </w:rPr>
      </w:pPr>
    </w:p>
    <w:p w14:paraId="6D2CB621" w14:textId="77777777" w:rsidR="00401382" w:rsidRDefault="00000000">
      <w:pPr>
        <w:spacing w:after="0" w:line="240" w:lineRule="auto"/>
        <w:ind w:left="709"/>
        <w:jc w:val="both"/>
        <w:rPr>
          <w:rFonts w:ascii="Arial" w:hAnsi="Arial"/>
          <w:i/>
          <w:shd w:val="clear" w:color="auto" w:fill="FFFFFF"/>
        </w:rPr>
      </w:pPr>
      <w:r>
        <w:rPr>
          <w:rFonts w:ascii="Arial" w:hAnsi="Arial"/>
          <w:i/>
          <w:shd w:val="clear" w:color="auto" w:fill="FFFFFF"/>
        </w:rPr>
        <w:t>"Estimado doctor Juan Gabriel:</w:t>
      </w:r>
    </w:p>
    <w:p w14:paraId="6753FFEE" w14:textId="77777777" w:rsidR="00401382" w:rsidRDefault="00000000">
      <w:pPr>
        <w:spacing w:after="0" w:line="240" w:lineRule="auto"/>
        <w:ind w:left="709"/>
        <w:jc w:val="both"/>
        <w:rPr>
          <w:rFonts w:ascii="Arial" w:hAnsi="Arial"/>
          <w:i/>
          <w:shd w:val="clear" w:color="auto" w:fill="FFFFFF"/>
        </w:rPr>
      </w:pPr>
      <w:r>
        <w:rPr>
          <w:rFonts w:ascii="Arial" w:hAnsi="Arial"/>
          <w:i/>
          <w:shd w:val="clear" w:color="auto" w:fill="FFFFFF"/>
        </w:rPr>
        <w:br/>
        <w:t>El pasado jueves 26 de marzo, la Dirección de la Autoridad Nacional de Consulta Previa comunicó la Resolución No. 002 del 10 de marzo de 2026, "por la cual se reconocen y ordena el pago de los honorarios dejados de percibir a favor de la señora EILEEN VANESSA LIVINGSTON RAMIREZ, en cumplimiento de una orden judicial".</w:t>
      </w:r>
    </w:p>
    <w:p w14:paraId="1C8E358A" w14:textId="77777777" w:rsidR="00401382" w:rsidRDefault="00401382">
      <w:pPr>
        <w:spacing w:after="0" w:line="240" w:lineRule="auto"/>
        <w:ind w:left="709"/>
        <w:jc w:val="both"/>
        <w:rPr>
          <w:rFonts w:ascii="Arial" w:hAnsi="Arial"/>
          <w:i/>
          <w:shd w:val="clear" w:color="auto" w:fill="FFFFFF"/>
        </w:rPr>
      </w:pPr>
    </w:p>
    <w:p w14:paraId="16A8AE13" w14:textId="77777777" w:rsidR="00401382" w:rsidRDefault="00000000">
      <w:pPr>
        <w:spacing w:after="0" w:line="240" w:lineRule="auto"/>
        <w:ind w:left="709"/>
        <w:jc w:val="both"/>
        <w:rPr>
          <w:rFonts w:ascii="Arial" w:hAnsi="Arial"/>
          <w:i/>
          <w:shd w:val="clear" w:color="auto" w:fill="FFFFFF"/>
        </w:rPr>
      </w:pPr>
      <w:r>
        <w:rPr>
          <w:rFonts w:ascii="Arial" w:hAnsi="Arial"/>
          <w:i/>
          <w:shd w:val="clear" w:color="auto" w:fill="FFFFFF"/>
        </w:rPr>
        <w:t>Al revisar la Resolución desde la Secretaría General y la Coordinación Financiera y Contable, se evidenció que se expidió por un funcionario que no tiene la competencia para ello, teniendo en cuenta que la ordenación del gasto delegada en la Secretaría General mediante las Resoluciones 150 de 2021 y 1153 de 2024, comprenden la ordenación del gasto para el pago de sentencias y conciliaciones que correspondan al Ministerio del Interior; resaltando que, la ordenación del gasto delegada mediante la Resolución 1265 de 2020 en el Director de la Autoridad Nacional de Consulta Previa, no comprende dicha facultad.</w:t>
      </w:r>
    </w:p>
    <w:p w14:paraId="602AD88E" w14:textId="77777777" w:rsidR="00401382" w:rsidRDefault="00401382">
      <w:pPr>
        <w:spacing w:after="0" w:line="240" w:lineRule="auto"/>
        <w:ind w:left="709"/>
        <w:rPr>
          <w:rFonts w:ascii="Arial" w:hAnsi="Arial"/>
          <w:i/>
          <w:shd w:val="clear" w:color="auto" w:fill="FFFFFF"/>
        </w:rPr>
      </w:pPr>
    </w:p>
    <w:p w14:paraId="66C2AEA1" w14:textId="77777777" w:rsidR="00401382" w:rsidRDefault="00000000">
      <w:pPr>
        <w:spacing w:after="0" w:line="240" w:lineRule="auto"/>
        <w:ind w:left="709"/>
        <w:jc w:val="both"/>
        <w:rPr>
          <w:rFonts w:ascii="Arial" w:hAnsi="Arial"/>
          <w:i/>
          <w:shd w:val="clear" w:color="auto" w:fill="FFFFFF"/>
        </w:rPr>
      </w:pPr>
      <w:r>
        <w:rPr>
          <w:rFonts w:ascii="Arial" w:hAnsi="Arial"/>
          <w:i/>
          <w:shd w:val="clear" w:color="auto" w:fill="FFFFFF"/>
        </w:rPr>
        <w:t>Por tal razón, se solicita que desde la Dirección Jurídica, en el marco de sus funciones y en la política de prevención del daño antijurídico, se revisen las acciones administrativas y jurídicas a seguir necesarias para dar cumplimiento a lo ordenado por el juez, resaltando que en estos momentos se cuenta con un acto administrativo expedido sin competencia y comunicado al tercero beneficiario del fallo judicial."</w:t>
      </w:r>
    </w:p>
    <w:p w14:paraId="55B237AB" w14:textId="77777777" w:rsidR="00401382" w:rsidRDefault="00000000">
      <w:pPr>
        <w:spacing w:after="0" w:line="240" w:lineRule="auto"/>
        <w:jc w:val="both"/>
        <w:rPr>
          <w:rFonts w:ascii="Arial" w:hAnsi="Arial"/>
        </w:rPr>
      </w:pPr>
      <w:r>
        <w:rPr>
          <w:rFonts w:ascii="Arial" w:hAnsi="Arial"/>
        </w:rPr>
        <w:t xml:space="preserve"> </w:t>
      </w:r>
    </w:p>
    <w:p w14:paraId="310E8B84" w14:textId="77777777" w:rsidR="00401382" w:rsidRDefault="00000000">
      <w:pPr>
        <w:spacing w:after="0" w:line="240" w:lineRule="auto"/>
        <w:jc w:val="both"/>
        <w:rPr>
          <w:rFonts w:ascii="Arial" w:hAnsi="Arial"/>
        </w:rPr>
      </w:pPr>
      <w:r>
        <w:rPr>
          <w:rFonts w:ascii="Arial" w:hAnsi="Arial"/>
        </w:rPr>
        <w:t>Luego, el Dr. Jaime Alberto Rodríguez Marín, en su calidad de Coordinador del Grupo de Gestión Financiera y Contable, mediante el Memorando 743490 del 16 de abril de 2026 efectuó liquidación para el cumplimiento del fallo de tutela que fue objeto de la expedición del acto administrativo en cuestión, en respuesta a  la solicitud efectuada por el Dr. Juan Gabriel Durán Sánchez, en su condición de Director Jurídico bajo el ID 737437.</w:t>
      </w:r>
    </w:p>
    <w:p w14:paraId="160B0C1D" w14:textId="77777777" w:rsidR="00401382" w:rsidRDefault="00000000">
      <w:pPr>
        <w:spacing w:after="0" w:line="240" w:lineRule="auto"/>
        <w:jc w:val="both"/>
        <w:rPr>
          <w:rFonts w:ascii="Arial" w:hAnsi="Arial"/>
        </w:rPr>
      </w:pPr>
      <w:r>
        <w:rPr>
          <w:rFonts w:ascii="Arial" w:hAnsi="Arial"/>
        </w:rPr>
        <w:t xml:space="preserve"> </w:t>
      </w:r>
    </w:p>
    <w:p w14:paraId="40DC811D" w14:textId="77777777" w:rsidR="00401382" w:rsidRDefault="00000000">
      <w:pPr>
        <w:spacing w:after="0" w:line="240" w:lineRule="auto"/>
        <w:jc w:val="both"/>
        <w:rPr>
          <w:rFonts w:ascii="Arial" w:hAnsi="Arial"/>
        </w:rPr>
      </w:pPr>
      <w:r>
        <w:rPr>
          <w:rFonts w:ascii="Arial" w:hAnsi="Arial"/>
        </w:rPr>
        <w:t xml:space="preserve">Posteriormente, el día 20 de abril de 2026, el Dr. Juan Gabriel Durán Sánchez solicitó a la Subdirección Administrativa y Financiera la Certificación de Disponibilidad Presupuestal – </w:t>
      </w:r>
      <w:r>
        <w:rPr>
          <w:rFonts w:ascii="Arial" w:hAnsi="Arial"/>
        </w:rPr>
        <w:lastRenderedPageBreak/>
        <w:t>CDP para el cumplimiento del fallo de tutela de segunda instancia proferido dentro de la acción de tutela con radicado No. 88001-31-03-002-2026-00002-01, el cual corresponde con el fallo de tutela que fue objeto de cumplimiento dentro del acto administrativo referenciado.</w:t>
      </w:r>
    </w:p>
    <w:p w14:paraId="6652016F" w14:textId="77777777" w:rsidR="00401382" w:rsidRDefault="00000000">
      <w:pPr>
        <w:spacing w:after="0" w:line="240" w:lineRule="auto"/>
        <w:jc w:val="both"/>
        <w:rPr>
          <w:rFonts w:ascii="Arial" w:hAnsi="Arial"/>
        </w:rPr>
      </w:pPr>
      <w:r>
        <w:rPr>
          <w:rFonts w:ascii="Arial" w:hAnsi="Arial"/>
        </w:rPr>
        <w:t xml:space="preserve"> </w:t>
      </w:r>
    </w:p>
    <w:p w14:paraId="730DFF99" w14:textId="77777777" w:rsidR="00401382" w:rsidRDefault="00000000">
      <w:pPr>
        <w:spacing w:after="0" w:line="240" w:lineRule="auto"/>
        <w:jc w:val="both"/>
        <w:rPr>
          <w:rFonts w:ascii="Arial" w:hAnsi="Arial"/>
        </w:rPr>
      </w:pPr>
      <w:r>
        <w:rPr>
          <w:rFonts w:ascii="Arial" w:hAnsi="Arial"/>
        </w:rPr>
        <w:t xml:space="preserve">En consecuencia, el día 21 de abril de 2026, el Dr. Jaime Alberto Rodríguez Marín, Coordinador del Grupo de Gestión Financiera y Contable, expidió el Certificado de Disponibilidad Presupuestal No. 125526, con un valor de </w:t>
      </w:r>
      <w:r>
        <w:rPr>
          <w:rFonts w:ascii="Arial" w:hAnsi="Arial"/>
          <w:b/>
        </w:rPr>
        <w:t>TREINTA Y SIETE MILLONES DOSCIENTOS MIL PESOS M/CTE ($37.200.000)</w:t>
      </w:r>
      <w:r>
        <w:rPr>
          <w:rFonts w:ascii="Arial" w:hAnsi="Arial"/>
        </w:rPr>
        <w:t>, dentro de la posición del catálogo del gasto A-03-10-01-001 “SENTENCIAS”, con el objeto de dar cumplimiento al fallo de tutela referenciado.</w:t>
      </w:r>
    </w:p>
    <w:p w14:paraId="7B138F95" w14:textId="77777777" w:rsidR="00401382" w:rsidRDefault="00000000">
      <w:pPr>
        <w:spacing w:after="0" w:line="240" w:lineRule="auto"/>
        <w:jc w:val="both"/>
        <w:rPr>
          <w:rFonts w:ascii="Arial" w:hAnsi="Arial"/>
        </w:rPr>
      </w:pPr>
      <w:r>
        <w:rPr>
          <w:rFonts w:ascii="Arial" w:hAnsi="Arial"/>
        </w:rPr>
        <w:t xml:space="preserve"> </w:t>
      </w:r>
    </w:p>
    <w:p w14:paraId="387842D6" w14:textId="77777777" w:rsidR="00401382" w:rsidRDefault="00000000">
      <w:pPr>
        <w:spacing w:after="0" w:line="240" w:lineRule="auto"/>
        <w:jc w:val="both"/>
        <w:rPr>
          <w:rFonts w:ascii="Arial" w:hAnsi="Arial"/>
        </w:rPr>
      </w:pPr>
      <w:r>
        <w:rPr>
          <w:rFonts w:ascii="Arial" w:hAnsi="Arial"/>
        </w:rPr>
        <w:t>Luego, el presente despacho profirió la Resolución 0867 del 21 de mayo de 2026 “</w:t>
      </w:r>
      <w:r>
        <w:rPr>
          <w:rFonts w:ascii="Arial" w:hAnsi="Arial"/>
          <w:i/>
        </w:rPr>
        <w:t>Por medio de la cual se ordena el pago de la sentencia judicial proferida dentro de la acción de tutela con radicado No. 88001-3103-002-2026-00002-01; accionante: Eileen Vanessa Livingston Ramírez contra el Ministerio del Interior</w:t>
      </w:r>
      <w:r>
        <w:rPr>
          <w:rFonts w:ascii="Arial" w:hAnsi="Arial"/>
        </w:rPr>
        <w:t>”, en virtud de la cual se ordenó el pago de TREINTA Y SIETE MILLONES DOSCIENTOS MIL PESOS M/CTE ($37.200.000), afectando el CDP referenciado, en favor de la accionante. Posteriormente, se expidió el Registro Presupuestal No. 271526 del 22 de mayo de 2026</w:t>
      </w:r>
    </w:p>
    <w:p w14:paraId="78A8E162" w14:textId="77777777" w:rsidR="00401382" w:rsidRDefault="00000000">
      <w:pPr>
        <w:spacing w:after="0" w:line="240" w:lineRule="auto"/>
        <w:jc w:val="both"/>
        <w:rPr>
          <w:rFonts w:ascii="Arial" w:hAnsi="Arial"/>
        </w:rPr>
      </w:pPr>
      <w:r>
        <w:rPr>
          <w:rFonts w:ascii="Arial" w:hAnsi="Arial"/>
        </w:rPr>
        <w:t xml:space="preserve"> </w:t>
      </w:r>
    </w:p>
    <w:p w14:paraId="01DB5E0C" w14:textId="77777777" w:rsidR="00401382" w:rsidRDefault="00000000">
      <w:pPr>
        <w:spacing w:after="0" w:line="240" w:lineRule="auto"/>
        <w:jc w:val="both"/>
        <w:rPr>
          <w:rFonts w:ascii="Arial" w:hAnsi="Arial"/>
        </w:rPr>
      </w:pPr>
      <w:r>
        <w:rPr>
          <w:rFonts w:ascii="Arial" w:hAnsi="Arial"/>
        </w:rPr>
        <w:t>Finalmente, mediante Memorando con radicado No. 2026-3-001401-016062 del 22 de mayo de 2026 se remitió la resolución mencionada a la Coordinación Financiera y Contable de la entidad, para proceder con el correspondiente pago.</w:t>
      </w:r>
    </w:p>
    <w:p w14:paraId="57B3A5FC" w14:textId="77777777" w:rsidR="00171B44" w:rsidRDefault="00171B44">
      <w:pPr>
        <w:spacing w:after="0" w:line="240" w:lineRule="auto"/>
        <w:jc w:val="both"/>
        <w:rPr>
          <w:rFonts w:ascii="Arial" w:hAnsi="Arial"/>
        </w:rPr>
      </w:pPr>
    </w:p>
    <w:p w14:paraId="21F39429" w14:textId="77777777" w:rsidR="00171B44" w:rsidRDefault="00171B44">
      <w:pPr>
        <w:spacing w:after="0" w:line="240" w:lineRule="auto"/>
        <w:jc w:val="both"/>
        <w:rPr>
          <w:rFonts w:ascii="Arial" w:hAnsi="Arial"/>
        </w:rPr>
      </w:pPr>
    </w:p>
    <w:p w14:paraId="1887AAAF" w14:textId="77777777" w:rsidR="00171B44" w:rsidRDefault="00171B44">
      <w:pPr>
        <w:spacing w:after="0" w:line="240" w:lineRule="auto"/>
        <w:jc w:val="both"/>
        <w:rPr>
          <w:rFonts w:ascii="Arial" w:hAnsi="Arial"/>
        </w:rPr>
      </w:pPr>
    </w:p>
    <w:p w14:paraId="27ABC17C" w14:textId="77777777" w:rsidR="00171B44" w:rsidRDefault="00171B44" w:rsidP="00171B44">
      <w:pPr>
        <w:ind w:left="708" w:hanging="708"/>
      </w:pPr>
      <w:r>
        <w:rPr>
          <w:rFonts w:ascii="Arial" w:eastAsia="Arial" w:hAnsi="Arial" w:cs="Arial"/>
          <w:b/>
          <w:bCs/>
          <w:szCs w:val="22"/>
        </w:rPr>
        <w:t>d.</w:t>
      </w:r>
      <w:r>
        <w:rPr>
          <w:rFonts w:ascii="Arial" w:eastAsia="Arial" w:hAnsi="Arial" w:cs="Arial"/>
          <w:szCs w:val="22"/>
        </w:rPr>
        <w:tab/>
      </w:r>
      <w:r>
        <w:rPr>
          <w:rFonts w:ascii="Arial" w:eastAsia="Arial" w:hAnsi="Arial" w:cs="Arial"/>
          <w:b/>
          <w:bCs/>
          <w:szCs w:val="22"/>
        </w:rPr>
        <w:t>Interposición de acción de tutela contra providencia judicial.</w:t>
      </w:r>
    </w:p>
    <w:p w14:paraId="032A7796" w14:textId="77777777" w:rsidR="00171B44" w:rsidRDefault="00DC7430" w:rsidP="00171B44">
      <w:pPr>
        <w:jc w:val="both"/>
        <w:rPr>
          <w:rFonts w:ascii="Arial" w:eastAsia="Arial" w:hAnsi="Arial" w:cs="Arial"/>
          <w:szCs w:val="22"/>
        </w:rPr>
      </w:pPr>
      <w:r w:rsidRPr="00DC7430">
        <w:rPr>
          <w:rFonts w:ascii="Arial" w:eastAsia="Arial" w:hAnsi="Arial" w:cs="Arial"/>
          <w:szCs w:val="22"/>
        </w:rPr>
        <w:t xml:space="preserve">Con radicado de presentación 2026-2-001404-021365 del 5 de mayo de 2026, el Director Jurídico del Ministerio del Interior, doctor Juan Gabriel Durán Sánchez, en ejercicio de la representación judicial conferida mediante la Resolución No. 1289 del 2 de septiembre de 2025 y el Decreto 714 de 2024, instauró ante la Sala de Casación Laboral de la Corte Suprema de Justicia, acción de tutela por vía de hecho contra la sentencia de segunda instancia proferida el 6 de marzo de 2026 por el Tribunal Superior del Departamento Archipiélago de San Andrés, Providencia y Santa Catalina (magistrado ponente Javier de Jesús Ayos Batista), dentro del expediente con radicado 88-001-31-03-002-2026-00002-01, a la cual le fue asignado el radicado </w:t>
      </w:r>
      <w:proofErr w:type="spellStart"/>
      <w:r w:rsidRPr="00DC7430">
        <w:rPr>
          <w:rFonts w:ascii="Arial" w:eastAsia="Arial" w:hAnsi="Arial" w:cs="Arial"/>
          <w:szCs w:val="22"/>
        </w:rPr>
        <w:t>N°</w:t>
      </w:r>
      <w:proofErr w:type="spellEnd"/>
      <w:r w:rsidRPr="00DC7430">
        <w:rPr>
          <w:rFonts w:ascii="Arial" w:eastAsia="Arial" w:hAnsi="Arial" w:cs="Arial"/>
          <w:szCs w:val="22"/>
        </w:rPr>
        <w:t xml:space="preserve"> 110010205000</w:t>
      </w:r>
      <w:r>
        <w:rPr>
          <w:rFonts w:ascii="Arial" w:eastAsia="Arial" w:hAnsi="Arial" w:cs="Arial"/>
          <w:szCs w:val="22"/>
        </w:rPr>
        <w:t>-</w:t>
      </w:r>
      <w:r w:rsidRPr="00DC7430">
        <w:rPr>
          <w:rFonts w:ascii="Arial" w:eastAsia="Arial" w:hAnsi="Arial" w:cs="Arial"/>
          <w:szCs w:val="22"/>
        </w:rPr>
        <w:t>2026</w:t>
      </w:r>
      <w:r>
        <w:rPr>
          <w:rFonts w:ascii="Arial" w:eastAsia="Arial" w:hAnsi="Arial" w:cs="Arial"/>
          <w:szCs w:val="22"/>
        </w:rPr>
        <w:t>-</w:t>
      </w:r>
      <w:r w:rsidRPr="00DC7430">
        <w:rPr>
          <w:rFonts w:ascii="Arial" w:eastAsia="Arial" w:hAnsi="Arial" w:cs="Arial"/>
          <w:szCs w:val="22"/>
        </w:rPr>
        <w:t>01232</w:t>
      </w:r>
      <w:r>
        <w:rPr>
          <w:rFonts w:ascii="Arial" w:eastAsia="Arial" w:hAnsi="Arial" w:cs="Arial"/>
          <w:szCs w:val="22"/>
        </w:rPr>
        <w:t>-</w:t>
      </w:r>
      <w:r w:rsidRPr="00DC7430">
        <w:rPr>
          <w:rFonts w:ascii="Arial" w:eastAsia="Arial" w:hAnsi="Arial" w:cs="Arial"/>
          <w:szCs w:val="22"/>
        </w:rPr>
        <w:t>00</w:t>
      </w:r>
      <w:r w:rsidR="00171B44">
        <w:rPr>
          <w:rFonts w:ascii="Arial" w:eastAsia="Arial" w:hAnsi="Arial" w:cs="Arial"/>
          <w:szCs w:val="22"/>
        </w:rPr>
        <w:t xml:space="preserve">. Adjunto pantallazo del portal de la </w:t>
      </w:r>
      <w:r w:rsidR="00836187">
        <w:rPr>
          <w:rFonts w:ascii="Arial" w:eastAsia="Arial" w:hAnsi="Arial" w:cs="Arial"/>
          <w:szCs w:val="22"/>
        </w:rPr>
        <w:t>página</w:t>
      </w:r>
      <w:r w:rsidR="00171B44">
        <w:rPr>
          <w:rFonts w:ascii="Arial" w:eastAsia="Arial" w:hAnsi="Arial" w:cs="Arial"/>
          <w:szCs w:val="22"/>
        </w:rPr>
        <w:t xml:space="preserve"> de la rama judicial:</w:t>
      </w:r>
    </w:p>
    <w:p w14:paraId="0F3A5830" w14:textId="77777777" w:rsidR="00171B44" w:rsidRDefault="00171B44" w:rsidP="00171B44">
      <w:pPr>
        <w:jc w:val="both"/>
        <w:rPr>
          <w:rFonts w:ascii="Arial" w:eastAsia="Arial" w:hAnsi="Arial" w:cs="Arial"/>
          <w:szCs w:val="22"/>
        </w:rPr>
      </w:pPr>
    </w:p>
    <w:p w14:paraId="4C55E0BD" w14:textId="77777777" w:rsidR="00171B44" w:rsidRDefault="00171B44" w:rsidP="00171B44">
      <w:pPr>
        <w:jc w:val="both"/>
        <w:rPr>
          <w:rFonts w:ascii="Arial" w:eastAsia="Arial" w:hAnsi="Arial" w:cs="Arial"/>
          <w:szCs w:val="22"/>
        </w:rPr>
      </w:pPr>
    </w:p>
    <w:p w14:paraId="159B7F17" w14:textId="77777777" w:rsidR="00171B44" w:rsidRDefault="00DC7430" w:rsidP="00171B44">
      <w:pPr>
        <w:jc w:val="both"/>
        <w:rPr>
          <w:rFonts w:ascii="Arial" w:eastAsia="Arial" w:hAnsi="Arial" w:cs="Arial"/>
          <w:szCs w:val="22"/>
        </w:rPr>
      </w:pPr>
      <w:r>
        <w:rPr>
          <w:rFonts w:ascii="Arial" w:eastAsia="Arial" w:hAnsi="Arial" w:cs="Arial"/>
          <w:noProof/>
          <w:szCs w:val="22"/>
        </w:rPr>
        <w:lastRenderedPageBreak/>
        <w:drawing>
          <wp:inline distT="0" distB="0" distL="0" distR="0" wp14:anchorId="77E9AA5A" wp14:editId="5A393408">
            <wp:extent cx="5533696" cy="2739088"/>
            <wp:effectExtent l="0" t="0" r="3810" b="4445"/>
            <wp:docPr id="153305442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3054427" name="Imagen 1533054427"/>
                    <pic:cNvPicPr/>
                  </pic:nvPicPr>
                  <pic:blipFill rotWithShape="1">
                    <a:blip r:embed="rId8">
                      <a:extLst>
                        <a:ext uri="{28A0092B-C50C-407E-A947-70E740481C1C}">
                          <a14:useLocalDpi xmlns:a14="http://schemas.microsoft.com/office/drawing/2010/main" val="0"/>
                        </a:ext>
                      </a:extLst>
                    </a:blip>
                    <a:srcRect l="6602" t="14157" r="9387" b="19311"/>
                    <a:stretch/>
                  </pic:blipFill>
                  <pic:spPr bwMode="auto">
                    <a:xfrm>
                      <a:off x="0" y="0"/>
                      <a:ext cx="5541897" cy="2743147"/>
                    </a:xfrm>
                    <a:prstGeom prst="rect">
                      <a:avLst/>
                    </a:prstGeom>
                    <a:ln>
                      <a:noFill/>
                    </a:ln>
                    <a:extLst>
                      <a:ext uri="{53640926-AAD7-44D8-BBD7-CCE9431645EC}">
                        <a14:shadowObscured xmlns:a14="http://schemas.microsoft.com/office/drawing/2010/main"/>
                      </a:ext>
                    </a:extLst>
                  </pic:spPr>
                </pic:pic>
              </a:graphicData>
            </a:graphic>
          </wp:inline>
        </w:drawing>
      </w:r>
    </w:p>
    <w:p w14:paraId="09675353" w14:textId="77777777" w:rsidR="00171B44" w:rsidRPr="00171B44" w:rsidRDefault="00171B44" w:rsidP="00171B44">
      <w:pPr>
        <w:jc w:val="both"/>
        <w:rPr>
          <w:rFonts w:ascii="Arial" w:eastAsia="Arial" w:hAnsi="Arial" w:cs="Arial"/>
          <w:szCs w:val="22"/>
        </w:rPr>
      </w:pPr>
    </w:p>
    <w:p w14:paraId="5BF452F2" w14:textId="77777777" w:rsidR="00DC7430" w:rsidRPr="00DC7430" w:rsidRDefault="00DC7430" w:rsidP="00DC7430">
      <w:pPr>
        <w:jc w:val="both"/>
        <w:rPr>
          <w:rFonts w:ascii="Arial" w:eastAsia="Arial" w:hAnsi="Arial" w:cs="Arial"/>
          <w:szCs w:val="22"/>
        </w:rPr>
      </w:pPr>
      <w:r w:rsidRPr="00DC7430">
        <w:rPr>
          <w:rFonts w:ascii="Arial" w:eastAsia="Arial" w:hAnsi="Arial" w:cs="Arial"/>
          <w:szCs w:val="22"/>
        </w:rPr>
        <w:t>La acción constitucional se dirige contra la providencia que confirmó el fallo de primera instancia proferido por el Juzgado Segundo Civil del Circuito del Departamento Archipiélago de San Andrés, Providencia y Santa Catalina del 27 de enero de 2026, dentro de la acción de tutela promovida por la señora Eileen Vanessa Livingston Ramírez, y mediante la cual se ordenó la renovación del contrato de prestación de servicios de la accionante, el pago de los honorarios dejados de percibir desde el 1.º de enero de 2026 y la indemnización prevista en el artículo 239 del Código Sustantivo del Trabajo.</w:t>
      </w:r>
    </w:p>
    <w:p w14:paraId="471EE5CE" w14:textId="77777777" w:rsidR="00DC7430" w:rsidRPr="00DC7430" w:rsidRDefault="00DC7430" w:rsidP="00DC7430">
      <w:pPr>
        <w:jc w:val="both"/>
        <w:rPr>
          <w:rFonts w:ascii="Arial" w:eastAsia="Arial" w:hAnsi="Arial" w:cs="Arial"/>
          <w:szCs w:val="22"/>
        </w:rPr>
      </w:pPr>
      <w:r w:rsidRPr="00DC7430">
        <w:rPr>
          <w:rFonts w:ascii="Arial" w:eastAsia="Arial" w:hAnsi="Arial" w:cs="Arial"/>
          <w:szCs w:val="22"/>
        </w:rPr>
        <w:t>El Ministerio del Interior fundamenta la procedencia de la acción de tutela contra providencia judicial en la configuración de las siguientes causales específicas de vía de hecho:</w:t>
      </w:r>
    </w:p>
    <w:p w14:paraId="0762EC27" w14:textId="77777777" w:rsidR="00DC7430" w:rsidRPr="00DC7430" w:rsidRDefault="00DC7430" w:rsidP="00DC7430">
      <w:pPr>
        <w:jc w:val="both"/>
        <w:rPr>
          <w:rFonts w:ascii="Arial" w:eastAsia="Arial" w:hAnsi="Arial" w:cs="Arial"/>
          <w:szCs w:val="22"/>
        </w:rPr>
      </w:pPr>
      <w:r w:rsidRPr="00DC7430">
        <w:rPr>
          <w:rFonts w:ascii="Arial" w:eastAsia="Arial" w:hAnsi="Arial" w:cs="Arial"/>
          <w:b/>
          <w:bCs/>
          <w:szCs w:val="22"/>
        </w:rPr>
        <w:t>- Defecto sustantivo,</w:t>
      </w:r>
      <w:r w:rsidRPr="00DC7430">
        <w:rPr>
          <w:rFonts w:ascii="Arial" w:eastAsia="Arial" w:hAnsi="Arial" w:cs="Arial"/>
          <w:szCs w:val="22"/>
        </w:rPr>
        <w:t xml:space="preserve"> por cuanto la providencia cuestionada omitió valorar que la accionante ya contaba, desde el 2 de septiembre de 2025, con protección judicial a su estabilidad ocupacional reforzada por lactancia, ordenada por el Juzgado 002 Civil Municipal de Archipiélago de San Andrés contra la Gobernación del Departamento de San Andrés, lo que tornaba improcedente una segunda acción de tutela por superación del perjuicio irremediable (artículo 6.º, numeral 1.º, del Decreto 2591 de 1991); y por aplicar de manera automática e injustificada el régimen indemnizatorio del artículo 239 del Código Sustantivo del Trabajo —propio de relaciones laborales subordinadas— a un contrato de prestación de servicios, sin verificar la existencia de un contrato realidad, en contravía del precedente fijado en la sentencia SU-070 de 2013.</w:t>
      </w:r>
    </w:p>
    <w:p w14:paraId="790A3F40" w14:textId="77777777" w:rsidR="00DC7430" w:rsidRPr="00DC7430" w:rsidRDefault="00DC7430" w:rsidP="00DC7430">
      <w:pPr>
        <w:jc w:val="both"/>
        <w:rPr>
          <w:rFonts w:ascii="Arial" w:eastAsia="Arial" w:hAnsi="Arial" w:cs="Arial"/>
          <w:szCs w:val="22"/>
        </w:rPr>
      </w:pPr>
      <w:r w:rsidRPr="00DC7430">
        <w:rPr>
          <w:rFonts w:ascii="Arial" w:eastAsia="Arial" w:hAnsi="Arial" w:cs="Arial"/>
          <w:b/>
          <w:bCs/>
          <w:szCs w:val="22"/>
        </w:rPr>
        <w:lastRenderedPageBreak/>
        <w:t>- Defecto fáctico,</w:t>
      </w:r>
      <w:r w:rsidRPr="00DC7430">
        <w:rPr>
          <w:rFonts w:ascii="Arial" w:eastAsia="Arial" w:hAnsi="Arial" w:cs="Arial"/>
          <w:szCs w:val="22"/>
        </w:rPr>
        <w:t xml:space="preserve"> por haber tenido por acreditada la condición de madre lactante continua con fundamento en certificados médicos que, según lo expuesto por el Ministerio, presentaban deficiencias formales y sustanciales (falta de firma del médico tratante, desactualización e inconsistencias entre los documentos aportados), insuficientes para activar la presunción de despido discriminatorio.</w:t>
      </w:r>
    </w:p>
    <w:p w14:paraId="1929651A" w14:textId="77777777" w:rsidR="00DC7430" w:rsidRPr="00DC7430" w:rsidRDefault="00DC7430" w:rsidP="00DC7430">
      <w:pPr>
        <w:jc w:val="both"/>
        <w:rPr>
          <w:rFonts w:ascii="Arial" w:eastAsia="Arial" w:hAnsi="Arial" w:cs="Arial"/>
          <w:szCs w:val="22"/>
        </w:rPr>
      </w:pPr>
      <w:r w:rsidRPr="00DC7430">
        <w:rPr>
          <w:rFonts w:ascii="Arial" w:eastAsia="Arial" w:hAnsi="Arial" w:cs="Arial"/>
          <w:b/>
          <w:bCs/>
          <w:szCs w:val="22"/>
        </w:rPr>
        <w:t>- Desconocimiento del principio de legalidad del gasto público (artículo 345 de la Constitución Política),</w:t>
      </w:r>
      <w:r w:rsidRPr="00DC7430">
        <w:rPr>
          <w:rFonts w:ascii="Arial" w:eastAsia="Arial" w:hAnsi="Arial" w:cs="Arial"/>
          <w:szCs w:val="22"/>
        </w:rPr>
        <w:t xml:space="preserve"> en la medida en que la providencia impone obligaciones económicas a cargo de la entidad sin definir su alcance temporal, fuente presupuestal ni soporte contractual.</w:t>
      </w:r>
    </w:p>
    <w:p w14:paraId="64184AAB" w14:textId="77777777" w:rsidR="00DC7430" w:rsidRPr="00DC7430" w:rsidRDefault="00DC7430" w:rsidP="00DC7430">
      <w:pPr>
        <w:jc w:val="both"/>
        <w:rPr>
          <w:rFonts w:ascii="Arial" w:eastAsia="Arial" w:hAnsi="Arial" w:cs="Arial"/>
          <w:szCs w:val="22"/>
        </w:rPr>
      </w:pPr>
      <w:r w:rsidRPr="00DC7430">
        <w:rPr>
          <w:rFonts w:ascii="Arial" w:eastAsia="Arial" w:hAnsi="Arial" w:cs="Arial"/>
          <w:szCs w:val="22"/>
        </w:rPr>
        <w:t>Como sustento del perjuicio irremediable que motivó la solicitud de medida cautelar urgente, se puso de presente que mediante auto del 27 de marzo de 2026, confirmado en grado de consulta el 27 de abril de 2026, el Juzgado Segundo Civil del Circuito del Departamento Archipiélago de San Andrés, Providencia y Santa Catalina sancionó por desacato al entonces Director de la Autoridad Nacional de Consulta Previa, señor Pedro Pablo Salas Hernández, e instó al superior funcional del sancionado a dar cumplimiento a lo ordenado en el término de cuarenta y ocho (48) horas, circunstancia que guarda relación con los hechos objeto del presente expediente disciplinario.</w:t>
      </w:r>
    </w:p>
    <w:p w14:paraId="12F5731E" w14:textId="77777777" w:rsidR="00DC7430" w:rsidRPr="00DC7430" w:rsidRDefault="00DC7430" w:rsidP="00DC7430">
      <w:pPr>
        <w:jc w:val="both"/>
        <w:rPr>
          <w:rFonts w:ascii="Arial" w:eastAsia="Arial" w:hAnsi="Arial" w:cs="Arial"/>
          <w:szCs w:val="22"/>
        </w:rPr>
      </w:pPr>
      <w:r w:rsidRPr="00DC7430">
        <w:rPr>
          <w:rFonts w:ascii="Arial" w:eastAsia="Arial" w:hAnsi="Arial" w:cs="Arial"/>
          <w:szCs w:val="22"/>
        </w:rPr>
        <w:t>En virtud de lo anterior, el Ministerio del Interior solicitó a la Sala de Casación Laboral de la Corte Suprema de Justicia, como medida cautelar, la suspensión integral de los efectos de las sentencias de primera y segunda instancia y, de manera subsidiaria, la suspensión de la orden de pago de la indemnización del artículo 239 del Código Sustantivo del Trabajo, así como la suspensión del trámite incidental de desacato, hasta tanto se resuelva de fondo la acción constitucional.</w:t>
      </w:r>
    </w:p>
    <w:p w14:paraId="6D4DF613" w14:textId="77777777" w:rsidR="00836187" w:rsidRPr="00836187" w:rsidRDefault="00171B44" w:rsidP="00171B44">
      <w:pPr>
        <w:rPr>
          <w:rFonts w:ascii="Arial" w:eastAsia="Arial" w:hAnsi="Arial" w:cs="Arial"/>
          <w:szCs w:val="22"/>
        </w:rPr>
      </w:pPr>
      <w:r>
        <w:rPr>
          <w:rFonts w:ascii="Arial" w:eastAsia="Arial" w:hAnsi="Arial" w:cs="Arial"/>
          <w:szCs w:val="22"/>
        </w:rPr>
        <w:t xml:space="preserve"> </w:t>
      </w:r>
    </w:p>
    <w:p w14:paraId="62E62F3C" w14:textId="77777777" w:rsidR="00171B44" w:rsidRDefault="00171B44" w:rsidP="00836187">
      <w:pPr>
        <w:ind w:left="708" w:hanging="708"/>
      </w:pPr>
      <w:r>
        <w:rPr>
          <w:rFonts w:ascii="Arial" w:eastAsia="Arial" w:hAnsi="Arial" w:cs="Arial"/>
          <w:b/>
          <w:bCs/>
          <w:szCs w:val="22"/>
        </w:rPr>
        <w:t>e.</w:t>
      </w:r>
      <w:r>
        <w:rPr>
          <w:rFonts w:ascii="Arial" w:eastAsia="Arial" w:hAnsi="Arial" w:cs="Arial"/>
          <w:szCs w:val="22"/>
        </w:rPr>
        <w:tab/>
      </w:r>
      <w:r>
        <w:rPr>
          <w:rFonts w:ascii="Arial" w:eastAsia="Arial" w:hAnsi="Arial" w:cs="Arial"/>
          <w:b/>
          <w:bCs/>
          <w:szCs w:val="22"/>
        </w:rPr>
        <w:t>Estado actual del trámite.</w:t>
      </w:r>
    </w:p>
    <w:p w14:paraId="33AF0610" w14:textId="77777777" w:rsidR="00DC7430" w:rsidRDefault="00DC7430" w:rsidP="00171B44">
      <w:pPr>
        <w:jc w:val="both"/>
        <w:rPr>
          <w:rFonts w:ascii="Arial" w:eastAsia="Arial" w:hAnsi="Arial" w:cs="Arial"/>
          <w:szCs w:val="22"/>
        </w:rPr>
      </w:pPr>
      <w:r w:rsidRPr="00DC7430">
        <w:rPr>
          <w:rFonts w:ascii="Arial" w:eastAsia="Arial" w:hAnsi="Arial" w:cs="Arial"/>
          <w:szCs w:val="22"/>
        </w:rPr>
        <w:t>De acuerdo con la consulta efectuada en la página consultaprocesos.ramajudicial.gov.co de la Rama Judicial, el expediente con radicado 11001020500020260123200, correspondiente a la acción de tutela contra providencia judicial interpuesta por el Ministerio del Interior ante la Sala de Casación Laboral de la Corte Suprema de Justicia, registra que el 11 de mayo de 2026 se efectuó la radicación y reparto del proceso en primera instancia a través del Ecosistema ESAV, y el 12 de mayo de 2026 fue remitido al despacho para sentencia con medida provisional decretada, siendo la magistrada ponente la doctora Marjorie Zúñiga Romero. Se anexa a la presente comunicación la captura de pantalla del estado del proceso consultado en la plataforma de la Rama Judicial.</w:t>
      </w:r>
    </w:p>
    <w:p w14:paraId="5C88518D" w14:textId="77777777" w:rsidR="00836187" w:rsidRDefault="00836187" w:rsidP="00171B44">
      <w:pPr>
        <w:jc w:val="both"/>
        <w:rPr>
          <w:rFonts w:ascii="Arial" w:eastAsia="Arial" w:hAnsi="Arial" w:cs="Arial"/>
          <w:szCs w:val="22"/>
        </w:rPr>
      </w:pPr>
      <w:r>
        <w:rPr>
          <w:rFonts w:ascii="Arial" w:eastAsia="Arial" w:hAnsi="Arial" w:cs="Arial"/>
          <w:noProof/>
          <w:szCs w:val="22"/>
        </w:rPr>
        <w:lastRenderedPageBreak/>
        <w:drawing>
          <wp:inline distT="0" distB="0" distL="0" distR="0" wp14:anchorId="5F8E01FA" wp14:editId="65EEC350">
            <wp:extent cx="5831535" cy="3090041"/>
            <wp:effectExtent l="0" t="0" r="0" b="0"/>
            <wp:docPr id="25731847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318472" name="Imagen 257318472"/>
                    <pic:cNvPicPr/>
                  </pic:nvPicPr>
                  <pic:blipFill rotWithShape="1">
                    <a:blip r:embed="rId9">
                      <a:extLst>
                        <a:ext uri="{28A0092B-C50C-407E-A947-70E740481C1C}">
                          <a14:useLocalDpi xmlns:a14="http://schemas.microsoft.com/office/drawing/2010/main" val="0"/>
                        </a:ext>
                      </a:extLst>
                    </a:blip>
                    <a:srcRect l="8428" t="20004" r="7016" b="8312"/>
                    <a:stretch/>
                  </pic:blipFill>
                  <pic:spPr bwMode="auto">
                    <a:xfrm>
                      <a:off x="0" y="0"/>
                      <a:ext cx="5843127" cy="3096183"/>
                    </a:xfrm>
                    <a:prstGeom prst="rect">
                      <a:avLst/>
                    </a:prstGeom>
                    <a:ln>
                      <a:noFill/>
                    </a:ln>
                    <a:extLst>
                      <a:ext uri="{53640926-AAD7-44D8-BBD7-CCE9431645EC}">
                        <a14:shadowObscured xmlns:a14="http://schemas.microsoft.com/office/drawing/2010/main"/>
                      </a:ext>
                    </a:extLst>
                  </pic:spPr>
                </pic:pic>
              </a:graphicData>
            </a:graphic>
          </wp:inline>
        </w:drawing>
      </w:r>
    </w:p>
    <w:p w14:paraId="74AD81D6" w14:textId="77777777" w:rsidR="00171B44" w:rsidRDefault="00171B44" w:rsidP="00171B44"/>
    <w:p w14:paraId="3F5AD2FF" w14:textId="77777777" w:rsidR="0088799B" w:rsidRDefault="0088799B" w:rsidP="0088799B">
      <w:pPr>
        <w:spacing w:after="0" w:line="240" w:lineRule="auto"/>
        <w:jc w:val="both"/>
        <w:rPr>
          <w:rFonts w:ascii="Arial" w:eastAsia="Arial" w:hAnsi="Arial" w:cs="Arial"/>
          <w:szCs w:val="22"/>
        </w:rPr>
      </w:pPr>
      <w:r w:rsidRPr="0088799B">
        <w:rPr>
          <w:rFonts w:ascii="Arial" w:eastAsia="Arial" w:hAnsi="Arial" w:cs="Arial"/>
          <w:szCs w:val="22"/>
        </w:rPr>
        <w:t>Lo anterior se pone de presente para conocimiento de esa Oficina de Control Disciplinario Interno, como elemento de contexto adicional al expediente disciplinario No. 093-2026, en cuanto da cuenta de las actuaciones judiciales emprendidas por el Ministerio del Interior orientadas a controvertir, por las vías procesales pertinentes, las órdenes judiciales cuyo presunto incumplimiento dio lugar a la apertura de la presente investigación.</w:t>
      </w:r>
    </w:p>
    <w:p w14:paraId="1A5D5BD4" w14:textId="77777777" w:rsidR="0088799B" w:rsidRDefault="0088799B" w:rsidP="0088799B">
      <w:pPr>
        <w:spacing w:after="0" w:line="240" w:lineRule="auto"/>
        <w:jc w:val="both"/>
        <w:rPr>
          <w:rFonts w:ascii="Arial" w:eastAsia="Arial" w:hAnsi="Arial" w:cs="Arial"/>
          <w:szCs w:val="22"/>
        </w:rPr>
      </w:pPr>
    </w:p>
    <w:p w14:paraId="0A9889AB" w14:textId="77777777" w:rsidR="00E21B5C" w:rsidRPr="00E21B5C" w:rsidRDefault="00E21B5C" w:rsidP="00E21B5C">
      <w:pPr>
        <w:pStyle w:val="font-claude-response-body"/>
        <w:rPr>
          <w:rFonts w:ascii="Arial" w:hAnsi="Arial" w:cs="Arial"/>
          <w:sz w:val="22"/>
          <w:szCs w:val="22"/>
        </w:rPr>
      </w:pPr>
      <w:r w:rsidRPr="00E21B5C">
        <w:rPr>
          <w:rStyle w:val="Fuerte"/>
          <w:rFonts w:ascii="Arial" w:hAnsi="Arial" w:cs="Arial"/>
          <w:sz w:val="22"/>
          <w:szCs w:val="22"/>
        </w:rPr>
        <w:t>Anexos:</w:t>
      </w:r>
    </w:p>
    <w:p w14:paraId="18E61AB3" w14:textId="77777777" w:rsidR="00E21B5C" w:rsidRPr="00E21B5C" w:rsidRDefault="00E21B5C" w:rsidP="00E21B5C">
      <w:pPr>
        <w:pStyle w:val="font-claude-response-body"/>
        <w:numPr>
          <w:ilvl w:val="0"/>
          <w:numId w:val="6"/>
        </w:numPr>
        <w:jc w:val="both"/>
        <w:rPr>
          <w:rFonts w:ascii="Arial" w:hAnsi="Arial" w:cs="Arial"/>
          <w:sz w:val="22"/>
          <w:szCs w:val="22"/>
        </w:rPr>
      </w:pPr>
      <w:r w:rsidRPr="00E21B5C">
        <w:rPr>
          <w:rFonts w:ascii="Arial" w:hAnsi="Arial" w:cs="Arial"/>
          <w:sz w:val="22"/>
          <w:szCs w:val="22"/>
        </w:rPr>
        <w:t>Correo electrónico del 31 de marzo de 2026, mediante el cual la Secretaria General Nancy Stella Patiño León notificó al Director Jurídico el presunto vicio de competencia de la Resolución No. 002 del 10 de marzo de 2026.</w:t>
      </w:r>
    </w:p>
    <w:p w14:paraId="4E9AF3A2" w14:textId="77777777" w:rsidR="00E21B5C" w:rsidRPr="00E21B5C" w:rsidRDefault="00E21B5C" w:rsidP="00E21B5C">
      <w:pPr>
        <w:pStyle w:val="font-claude-response-body"/>
        <w:numPr>
          <w:ilvl w:val="0"/>
          <w:numId w:val="6"/>
        </w:numPr>
        <w:jc w:val="both"/>
        <w:rPr>
          <w:rFonts w:ascii="Arial" w:hAnsi="Arial" w:cs="Arial"/>
          <w:sz w:val="22"/>
          <w:szCs w:val="22"/>
        </w:rPr>
      </w:pPr>
      <w:r w:rsidRPr="00E21B5C">
        <w:rPr>
          <w:rFonts w:ascii="Arial" w:hAnsi="Arial" w:cs="Arial"/>
          <w:sz w:val="22"/>
          <w:szCs w:val="22"/>
        </w:rPr>
        <w:t>Memorando No. 2026-3-001404-012254 del 1 de abril de 2026, expedido por el Director Jurídico Juan Gabriel Durán Sánchez a la Secretaria General, mediante el cual se rinde concepto jurídico sobre la legalidad de la Resolución No. 002 de 2026.</w:t>
      </w:r>
    </w:p>
    <w:p w14:paraId="298166F1" w14:textId="77777777" w:rsidR="00E21B5C" w:rsidRPr="00E21B5C" w:rsidRDefault="00E21B5C" w:rsidP="00E21B5C">
      <w:pPr>
        <w:pStyle w:val="font-claude-response-body"/>
        <w:numPr>
          <w:ilvl w:val="0"/>
          <w:numId w:val="6"/>
        </w:numPr>
        <w:jc w:val="both"/>
        <w:rPr>
          <w:rFonts w:ascii="Arial" w:hAnsi="Arial" w:cs="Arial"/>
          <w:sz w:val="22"/>
          <w:szCs w:val="22"/>
        </w:rPr>
      </w:pPr>
      <w:r w:rsidRPr="00E21B5C">
        <w:rPr>
          <w:rFonts w:ascii="Arial" w:hAnsi="Arial" w:cs="Arial"/>
          <w:sz w:val="22"/>
          <w:szCs w:val="22"/>
        </w:rPr>
        <w:t>Resolución 1265 del 4 de noviembre de 2020 "Por la cual se efectúan unas delegaciones, se deroga la Resolución No. 0105 de 2020 y se dictan otras disposiciones".</w:t>
      </w:r>
    </w:p>
    <w:p w14:paraId="64570444" w14:textId="77777777" w:rsidR="00E21B5C" w:rsidRPr="00E21B5C" w:rsidRDefault="00E21B5C" w:rsidP="00E21B5C">
      <w:pPr>
        <w:pStyle w:val="font-claude-response-body"/>
        <w:numPr>
          <w:ilvl w:val="0"/>
          <w:numId w:val="6"/>
        </w:numPr>
        <w:jc w:val="both"/>
        <w:rPr>
          <w:rFonts w:ascii="Arial" w:hAnsi="Arial" w:cs="Arial"/>
          <w:sz w:val="22"/>
          <w:szCs w:val="22"/>
        </w:rPr>
      </w:pPr>
      <w:r w:rsidRPr="00E21B5C">
        <w:rPr>
          <w:rFonts w:ascii="Arial" w:hAnsi="Arial" w:cs="Arial"/>
          <w:sz w:val="22"/>
          <w:szCs w:val="22"/>
        </w:rPr>
        <w:t>Resolución 150 del 1 de febrero de 2021 "Por la cual se efectúan unas delegaciones y se dictan otras disposiciones".</w:t>
      </w:r>
    </w:p>
    <w:p w14:paraId="794B80F0" w14:textId="77777777" w:rsidR="00E21B5C" w:rsidRPr="00E21B5C" w:rsidRDefault="00E21B5C" w:rsidP="00E21B5C">
      <w:pPr>
        <w:pStyle w:val="font-claude-response-body"/>
        <w:numPr>
          <w:ilvl w:val="0"/>
          <w:numId w:val="6"/>
        </w:numPr>
        <w:jc w:val="both"/>
        <w:rPr>
          <w:rFonts w:ascii="Arial" w:hAnsi="Arial" w:cs="Arial"/>
          <w:sz w:val="22"/>
          <w:szCs w:val="22"/>
        </w:rPr>
      </w:pPr>
      <w:r w:rsidRPr="00E21B5C">
        <w:rPr>
          <w:rFonts w:ascii="Arial" w:hAnsi="Arial" w:cs="Arial"/>
          <w:sz w:val="22"/>
          <w:szCs w:val="22"/>
        </w:rPr>
        <w:lastRenderedPageBreak/>
        <w:t>Resolución 1153 del 18 de julio de 2024 "Por la cual se adiciona el artículo 1º a la Resolución 0150 del 1 de febrero de 2021, relacionado con una delegación y se dictan otras disposiciones".</w:t>
      </w:r>
    </w:p>
    <w:p w14:paraId="609E6807" w14:textId="77777777" w:rsidR="00E21B5C" w:rsidRPr="00E21B5C" w:rsidRDefault="00E21B5C" w:rsidP="00E21B5C">
      <w:pPr>
        <w:pStyle w:val="font-claude-response-body"/>
        <w:numPr>
          <w:ilvl w:val="0"/>
          <w:numId w:val="6"/>
        </w:numPr>
        <w:jc w:val="both"/>
        <w:rPr>
          <w:rFonts w:ascii="Arial" w:hAnsi="Arial" w:cs="Arial"/>
          <w:sz w:val="22"/>
          <w:szCs w:val="22"/>
        </w:rPr>
      </w:pPr>
      <w:r w:rsidRPr="00E21B5C">
        <w:rPr>
          <w:rFonts w:ascii="Arial" w:hAnsi="Arial" w:cs="Arial"/>
          <w:sz w:val="22"/>
          <w:szCs w:val="22"/>
        </w:rPr>
        <w:t xml:space="preserve">Resolución 2062 del 8 de noviembre de 2024 "Por la cual se modifica el artículo 5º de la Resolución 0150 del 1 de febrero de 2021, adicionando el </w:t>
      </w:r>
      <w:proofErr w:type="spellStart"/>
      <w:r w:rsidRPr="00E21B5C">
        <w:rPr>
          <w:rFonts w:ascii="Arial" w:hAnsi="Arial" w:cs="Arial"/>
          <w:sz w:val="22"/>
          <w:szCs w:val="22"/>
        </w:rPr>
        <w:t>subnumeral</w:t>
      </w:r>
      <w:proofErr w:type="spellEnd"/>
      <w:r w:rsidRPr="00E21B5C">
        <w:rPr>
          <w:rFonts w:ascii="Arial" w:hAnsi="Arial" w:cs="Arial"/>
          <w:sz w:val="22"/>
          <w:szCs w:val="22"/>
        </w:rPr>
        <w:t xml:space="preserve"> 5.3, relacionado con una delegación y se dictan otras disposiciones".</w:t>
      </w:r>
    </w:p>
    <w:p w14:paraId="3809C383" w14:textId="77777777" w:rsidR="00E21B5C" w:rsidRPr="00E21B5C" w:rsidRDefault="00E21B5C" w:rsidP="00E21B5C">
      <w:pPr>
        <w:pStyle w:val="font-claude-response-body"/>
        <w:numPr>
          <w:ilvl w:val="0"/>
          <w:numId w:val="6"/>
        </w:numPr>
        <w:jc w:val="both"/>
        <w:rPr>
          <w:rFonts w:ascii="Arial" w:hAnsi="Arial" w:cs="Arial"/>
          <w:sz w:val="22"/>
          <w:szCs w:val="22"/>
        </w:rPr>
      </w:pPr>
      <w:r w:rsidRPr="00E21B5C">
        <w:rPr>
          <w:rFonts w:ascii="Arial" w:hAnsi="Arial" w:cs="Arial"/>
          <w:sz w:val="22"/>
          <w:szCs w:val="22"/>
        </w:rPr>
        <w:t>Resolución 0708 del 27 de abril de 2026 "Por la cual se efectúan unas delegaciones en el Ministerio del Interior".</w:t>
      </w:r>
    </w:p>
    <w:p w14:paraId="699E52CD" w14:textId="77777777" w:rsidR="00E21B5C" w:rsidRPr="00E21B5C" w:rsidRDefault="00E21B5C" w:rsidP="00E21B5C">
      <w:pPr>
        <w:pStyle w:val="font-claude-response-body"/>
        <w:numPr>
          <w:ilvl w:val="0"/>
          <w:numId w:val="6"/>
        </w:numPr>
        <w:jc w:val="both"/>
        <w:rPr>
          <w:rFonts w:ascii="Arial" w:hAnsi="Arial" w:cs="Arial"/>
          <w:sz w:val="22"/>
          <w:szCs w:val="22"/>
        </w:rPr>
      </w:pPr>
      <w:r w:rsidRPr="00E21B5C">
        <w:rPr>
          <w:rFonts w:ascii="Arial" w:hAnsi="Arial" w:cs="Arial"/>
          <w:sz w:val="22"/>
          <w:szCs w:val="22"/>
        </w:rPr>
        <w:t>Resolución 0867 del 21 de mayo de 2026 "Por medio de la cual se ordena el pago de la sentencia judicial proferida dentro de la acción de tutela con radicado No. 88001-3103-002-2026-00002-01; accionante Eileen Vanessa Livingston Ramírez contra Ministerio del Interior".</w:t>
      </w:r>
    </w:p>
    <w:p w14:paraId="79DB76FC" w14:textId="77777777" w:rsidR="00E21B5C" w:rsidRPr="00E21B5C" w:rsidRDefault="00E21B5C" w:rsidP="00E21B5C">
      <w:pPr>
        <w:pStyle w:val="font-claude-response-body"/>
        <w:numPr>
          <w:ilvl w:val="0"/>
          <w:numId w:val="6"/>
        </w:numPr>
        <w:jc w:val="both"/>
        <w:rPr>
          <w:rFonts w:ascii="Arial" w:hAnsi="Arial" w:cs="Arial"/>
          <w:sz w:val="22"/>
          <w:szCs w:val="22"/>
        </w:rPr>
      </w:pPr>
      <w:r w:rsidRPr="00E21B5C">
        <w:rPr>
          <w:rFonts w:ascii="Arial" w:hAnsi="Arial" w:cs="Arial"/>
          <w:sz w:val="22"/>
          <w:szCs w:val="22"/>
        </w:rPr>
        <w:t>Registro Presupuestal No. 271526 del 22 de mayo de 2026, expedido por el Grupo de Gestión Financiera y Contable, con base en el CDP No. 125526 del 21 de abril de 2026, por valor de $37.200.000.</w:t>
      </w:r>
    </w:p>
    <w:p w14:paraId="73708CB1" w14:textId="77777777" w:rsidR="00E21B5C" w:rsidRPr="00E21B5C" w:rsidRDefault="00E21B5C" w:rsidP="00E21B5C">
      <w:pPr>
        <w:pStyle w:val="font-claude-response-body"/>
        <w:numPr>
          <w:ilvl w:val="0"/>
          <w:numId w:val="6"/>
        </w:numPr>
        <w:jc w:val="both"/>
        <w:rPr>
          <w:rFonts w:ascii="Arial" w:hAnsi="Arial" w:cs="Arial"/>
          <w:sz w:val="22"/>
          <w:szCs w:val="22"/>
        </w:rPr>
      </w:pPr>
      <w:r w:rsidRPr="00E21B5C">
        <w:rPr>
          <w:rFonts w:ascii="Arial" w:hAnsi="Arial" w:cs="Arial"/>
          <w:sz w:val="22"/>
          <w:szCs w:val="22"/>
        </w:rPr>
        <w:t>Memorando No. 2026-3-001401-016062 del 22 de mayo de 2026, expedido por el Director Jurídico al Coordinador Financiero y Contable, mediante el cual se remite la Resolución 0867 de 2026 para el trámite de pago correspondiente.</w:t>
      </w:r>
    </w:p>
    <w:p w14:paraId="3FD258C3" w14:textId="77777777" w:rsidR="00E21B5C" w:rsidRPr="00E21B5C" w:rsidRDefault="00E21B5C" w:rsidP="00E21B5C">
      <w:pPr>
        <w:pStyle w:val="font-claude-response-body"/>
        <w:numPr>
          <w:ilvl w:val="0"/>
          <w:numId w:val="6"/>
        </w:numPr>
        <w:jc w:val="both"/>
        <w:rPr>
          <w:rFonts w:ascii="Arial" w:hAnsi="Arial" w:cs="Arial"/>
          <w:sz w:val="22"/>
          <w:szCs w:val="22"/>
        </w:rPr>
      </w:pPr>
      <w:r w:rsidRPr="00E21B5C">
        <w:rPr>
          <w:rFonts w:ascii="Arial" w:hAnsi="Arial" w:cs="Arial"/>
          <w:sz w:val="22"/>
          <w:szCs w:val="22"/>
        </w:rPr>
        <w:t>Acción de tutela contra providencia judicial radicada el 5 de mayo de 2026 con radicado de presentación 2026-2-001404-021365, interpuesta por el Director Jurídico del Ministerio del Interior ante la Sala de Casación Laboral de la Corte Suprema de Justicia, con radicado judicial No. 11001020500020260123200.</w:t>
      </w:r>
    </w:p>
    <w:p w14:paraId="03A4116D" w14:textId="77777777" w:rsidR="00E21B5C" w:rsidRPr="00E21B5C" w:rsidRDefault="00E21B5C" w:rsidP="00E21B5C">
      <w:pPr>
        <w:pStyle w:val="font-claude-response-body"/>
        <w:numPr>
          <w:ilvl w:val="0"/>
          <w:numId w:val="6"/>
        </w:numPr>
        <w:jc w:val="both"/>
        <w:rPr>
          <w:rFonts w:ascii="Arial" w:hAnsi="Arial" w:cs="Arial"/>
          <w:sz w:val="22"/>
          <w:szCs w:val="22"/>
        </w:rPr>
      </w:pPr>
      <w:r w:rsidRPr="00E21B5C">
        <w:rPr>
          <w:rFonts w:ascii="Arial" w:hAnsi="Arial" w:cs="Arial"/>
          <w:sz w:val="22"/>
          <w:szCs w:val="22"/>
        </w:rPr>
        <w:t>Correo electrónico del 14 de mayo de 2026, enviado por la Dirección Jurídica del Ministerio del Interior a la Sala de Casación Laboral de la Corte Suprema de Justicia, mediante el cual se solicitó acceso al expediente con radicado 11001020500020260123200, ante la imposibilidad de visualizar y descargar las actuaciones desde la plataforma de la Rama Judicial.</w:t>
      </w:r>
    </w:p>
    <w:p w14:paraId="483D3B3E" w14:textId="77777777" w:rsidR="00E21B5C" w:rsidRPr="00E21B5C" w:rsidRDefault="00E21B5C" w:rsidP="00E21B5C">
      <w:pPr>
        <w:pStyle w:val="font-claude-response-body"/>
        <w:numPr>
          <w:ilvl w:val="0"/>
          <w:numId w:val="6"/>
        </w:numPr>
        <w:jc w:val="both"/>
        <w:rPr>
          <w:rFonts w:ascii="Arial" w:hAnsi="Arial" w:cs="Arial"/>
          <w:sz w:val="22"/>
          <w:szCs w:val="22"/>
        </w:rPr>
      </w:pPr>
      <w:r w:rsidRPr="00E21B5C">
        <w:rPr>
          <w:rFonts w:ascii="Arial" w:hAnsi="Arial" w:cs="Arial"/>
          <w:sz w:val="22"/>
          <w:szCs w:val="22"/>
        </w:rPr>
        <w:t>Captura de pantalla del estado del proceso con radicado 11001020500020260123200, consultado en la plataforma de la Rama Judicial, que registra la radicación y reparto del 11 de mayo de 2026 y la remisión al despacho para sentencia con medida provisional decretada el 12 de mayo de 2026, siendo magistrada ponente la doctora Marjorie Zúñiga Romero.</w:t>
      </w:r>
    </w:p>
    <w:p w14:paraId="70169FA6" w14:textId="77777777" w:rsidR="00E21B5C" w:rsidRDefault="00E21B5C" w:rsidP="0088799B">
      <w:pPr>
        <w:spacing w:after="0" w:line="240" w:lineRule="auto"/>
        <w:jc w:val="both"/>
        <w:rPr>
          <w:rFonts w:ascii="Arial" w:eastAsia="Arial" w:hAnsi="Arial" w:cs="Arial"/>
          <w:szCs w:val="22"/>
        </w:rPr>
      </w:pPr>
    </w:p>
    <w:p w14:paraId="2EF79340" w14:textId="77777777" w:rsidR="00E21B5C" w:rsidRPr="0088799B" w:rsidRDefault="00E21B5C" w:rsidP="0088799B">
      <w:pPr>
        <w:spacing w:after="0" w:line="240" w:lineRule="auto"/>
        <w:jc w:val="both"/>
        <w:rPr>
          <w:rFonts w:ascii="Arial" w:eastAsia="Arial" w:hAnsi="Arial" w:cs="Arial"/>
          <w:szCs w:val="22"/>
        </w:rPr>
      </w:pPr>
    </w:p>
    <w:p w14:paraId="6AD8BFF6" w14:textId="77777777" w:rsidR="0088799B" w:rsidRPr="0088799B" w:rsidRDefault="0088799B" w:rsidP="0088799B">
      <w:pPr>
        <w:spacing w:after="0" w:line="240" w:lineRule="auto"/>
        <w:jc w:val="both"/>
        <w:rPr>
          <w:rFonts w:ascii="Arial" w:eastAsia="Arial" w:hAnsi="Arial" w:cs="Arial"/>
          <w:szCs w:val="22"/>
        </w:rPr>
      </w:pPr>
      <w:r w:rsidRPr="0088799B">
        <w:rPr>
          <w:rFonts w:ascii="Arial" w:eastAsia="Arial" w:hAnsi="Arial" w:cs="Arial"/>
          <w:szCs w:val="22"/>
        </w:rPr>
        <w:t>En los términos expuestos, relacionamos las actuaciones adelantadas por la Secretaría General para garantizar el cumplimiento del fallo de tutela objeto de solicitud de información.</w:t>
      </w:r>
    </w:p>
    <w:p w14:paraId="184925AC" w14:textId="77777777" w:rsidR="00401382" w:rsidRDefault="00000000">
      <w:pPr>
        <w:spacing w:after="0" w:line="240" w:lineRule="auto"/>
        <w:jc w:val="both"/>
        <w:rPr>
          <w:rFonts w:ascii="Arial" w:hAnsi="Arial"/>
          <w:b/>
          <w:sz w:val="24"/>
        </w:rPr>
      </w:pPr>
      <w:r>
        <w:rPr>
          <w:rFonts w:ascii="Arial" w:hAnsi="Arial"/>
          <w:b/>
          <w:sz w:val="24"/>
        </w:rPr>
        <w:t xml:space="preserve"> </w:t>
      </w:r>
    </w:p>
    <w:p w14:paraId="49370123" w14:textId="77777777" w:rsidR="00401382" w:rsidRDefault="00000000">
      <w:pPr>
        <w:spacing w:after="0" w:line="240" w:lineRule="auto"/>
        <w:jc w:val="both"/>
        <w:rPr>
          <w:rFonts w:ascii="Arial" w:hAnsi="Arial"/>
          <w:b/>
          <w:sz w:val="24"/>
        </w:rPr>
      </w:pPr>
      <w:r>
        <w:rPr>
          <w:rFonts w:ascii="Arial" w:hAnsi="Arial"/>
          <w:sz w:val="24"/>
        </w:rPr>
        <w:t>Cordialmente,</w:t>
      </w:r>
      <w:r>
        <w:rPr>
          <w:rFonts w:ascii="Arial" w:hAnsi="Arial"/>
          <w:b/>
          <w:sz w:val="24"/>
        </w:rPr>
        <w:t xml:space="preserve"> </w:t>
      </w:r>
    </w:p>
    <w:p w14:paraId="5E338AC2" w14:textId="77777777" w:rsidR="00401382" w:rsidRDefault="00401382">
      <w:pPr>
        <w:spacing w:after="0" w:line="240" w:lineRule="auto"/>
        <w:jc w:val="both"/>
        <w:rPr>
          <w:rFonts w:ascii="Arial" w:hAnsi="Arial"/>
          <w:b/>
          <w:sz w:val="24"/>
        </w:rPr>
      </w:pPr>
    </w:p>
    <w:p w14:paraId="7A5F15A8" w14:textId="77777777" w:rsidR="00401382" w:rsidRDefault="00000000">
      <w:pPr>
        <w:spacing w:after="0" w:line="240" w:lineRule="auto"/>
        <w:jc w:val="both"/>
        <w:rPr>
          <w:rFonts w:ascii="Arial" w:hAnsi="Arial"/>
          <w:b/>
          <w:sz w:val="24"/>
        </w:rPr>
      </w:pPr>
      <w:r>
        <w:rPr>
          <w:rFonts w:ascii="Arial" w:hAnsi="Arial"/>
          <w:b/>
          <w:sz w:val="24"/>
        </w:rPr>
        <w:t xml:space="preserve"> </w:t>
      </w:r>
    </w:p>
    <w:p w14:paraId="2CCEBE6D" w14:textId="77777777" w:rsidR="00401382" w:rsidRDefault="00000000">
      <w:pPr>
        <w:spacing w:after="0" w:line="240" w:lineRule="auto"/>
        <w:jc w:val="both"/>
        <w:rPr>
          <w:rFonts w:ascii="Arial" w:hAnsi="Arial"/>
          <w:b/>
          <w:sz w:val="24"/>
        </w:rPr>
      </w:pPr>
      <w:r>
        <w:rPr>
          <w:rFonts w:ascii="Arial" w:hAnsi="Arial"/>
          <w:b/>
          <w:sz w:val="24"/>
        </w:rPr>
        <w:t>NANCY STELLA PATIÑO LEON</w:t>
      </w:r>
    </w:p>
    <w:p w14:paraId="126C20C2" w14:textId="77777777" w:rsidR="00401382" w:rsidRDefault="00000000">
      <w:pPr>
        <w:spacing w:after="0" w:line="240" w:lineRule="auto"/>
        <w:jc w:val="both"/>
        <w:rPr>
          <w:rFonts w:ascii="Arial" w:hAnsi="Arial"/>
          <w:sz w:val="24"/>
        </w:rPr>
      </w:pPr>
      <w:r>
        <w:rPr>
          <w:rFonts w:ascii="Arial" w:hAnsi="Arial"/>
          <w:sz w:val="24"/>
        </w:rPr>
        <w:t>Secretaria General</w:t>
      </w:r>
    </w:p>
    <w:p w14:paraId="59317F0D" w14:textId="77777777" w:rsidR="00401382" w:rsidRDefault="00000000">
      <w:pPr>
        <w:spacing w:after="0" w:line="240" w:lineRule="auto"/>
        <w:jc w:val="both"/>
        <w:rPr>
          <w:rFonts w:ascii="Arial" w:hAnsi="Arial"/>
          <w:b/>
          <w:sz w:val="24"/>
        </w:rPr>
      </w:pPr>
      <w:r>
        <w:rPr>
          <w:rFonts w:ascii="Arial" w:hAnsi="Arial"/>
          <w:b/>
          <w:sz w:val="24"/>
        </w:rPr>
        <w:lastRenderedPageBreak/>
        <w:t xml:space="preserve"> </w:t>
      </w:r>
    </w:p>
    <w:p w14:paraId="5AE407FD" w14:textId="77777777" w:rsidR="00401382" w:rsidRDefault="00000000">
      <w:pPr>
        <w:spacing w:after="0" w:line="240" w:lineRule="auto"/>
        <w:jc w:val="both"/>
        <w:rPr>
          <w:rFonts w:ascii="Arial" w:hAnsi="Arial"/>
          <w:sz w:val="16"/>
        </w:rPr>
      </w:pPr>
      <w:r>
        <w:rPr>
          <w:rFonts w:ascii="Arial" w:hAnsi="Arial"/>
          <w:sz w:val="16"/>
        </w:rPr>
        <w:t>Proyectó:  Nelson David Caro – Contratista – SAF</w:t>
      </w:r>
    </w:p>
    <w:p w14:paraId="3ECC741E" w14:textId="5A3D281A" w:rsidR="008833E8" w:rsidRDefault="008833E8">
      <w:pPr>
        <w:spacing w:after="0" w:line="240" w:lineRule="auto"/>
        <w:jc w:val="both"/>
        <w:rPr>
          <w:rFonts w:ascii="Arial" w:hAnsi="Arial"/>
          <w:b/>
          <w:sz w:val="16"/>
        </w:rPr>
      </w:pPr>
      <w:r>
        <w:rPr>
          <w:rFonts w:ascii="Arial" w:hAnsi="Arial"/>
          <w:sz w:val="16"/>
        </w:rPr>
        <w:t>Ajustó:      Alejandro Franco Castaño. Asesor.</w:t>
      </w:r>
    </w:p>
    <w:p w14:paraId="79134ED2" w14:textId="77777777" w:rsidR="00401382" w:rsidRDefault="00000000">
      <w:pPr>
        <w:spacing w:after="0" w:line="240" w:lineRule="auto"/>
        <w:jc w:val="both"/>
        <w:rPr>
          <w:rFonts w:ascii="Arial" w:hAnsi="Arial"/>
          <w:b/>
          <w:sz w:val="16"/>
        </w:rPr>
      </w:pPr>
      <w:r>
        <w:rPr>
          <w:rFonts w:ascii="Arial" w:hAnsi="Arial"/>
          <w:sz w:val="16"/>
        </w:rPr>
        <w:t>Revisó:</w:t>
      </w:r>
      <w:r>
        <w:rPr>
          <w:rFonts w:ascii="Arial" w:hAnsi="Arial"/>
          <w:sz w:val="16"/>
        </w:rPr>
        <w:tab/>
        <w:t xml:space="preserve">  Jaime Alberto Rodríguez Marín – Coordinador Grupo de Gestión Financiera y Contable – SAF </w:t>
      </w:r>
      <w:r>
        <w:rPr>
          <w:noProof/>
        </w:rPr>
        <w:drawing>
          <wp:inline distT="0" distB="0" distL="0" distR="0" wp14:anchorId="13C7B8B2" wp14:editId="700535F7">
            <wp:extent cx="485140" cy="207010"/>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a:stretch>
                      <a:fillRect/>
                    </a:stretch>
                  </pic:blipFill>
                  <pic:spPr>
                    <a:xfrm>
                      <a:off x="0" y="0"/>
                      <a:ext cx="485140" cy="207010"/>
                    </a:xfrm>
                    <a:prstGeom prst="rect">
                      <a:avLst/>
                    </a:prstGeom>
                    <a:noFill/>
                  </pic:spPr>
                </pic:pic>
              </a:graphicData>
            </a:graphic>
          </wp:inline>
        </w:drawing>
      </w:r>
    </w:p>
    <w:p w14:paraId="74C3CD4A" w14:textId="77777777" w:rsidR="00401382" w:rsidRDefault="00000000">
      <w:pPr>
        <w:spacing w:after="0" w:line="240" w:lineRule="auto"/>
        <w:jc w:val="both"/>
        <w:rPr>
          <w:rFonts w:ascii="Arial" w:hAnsi="Arial"/>
          <w:sz w:val="16"/>
        </w:rPr>
      </w:pPr>
      <w:r>
        <w:rPr>
          <w:rFonts w:ascii="Arial" w:hAnsi="Arial"/>
          <w:sz w:val="16"/>
        </w:rPr>
        <w:t xml:space="preserve"> </w:t>
      </w:r>
    </w:p>
    <w:p w14:paraId="16A78B98" w14:textId="77777777" w:rsidR="00401382" w:rsidRDefault="00000000">
      <w:pPr>
        <w:spacing w:after="0" w:line="240" w:lineRule="auto"/>
        <w:jc w:val="both"/>
        <w:rPr>
          <w:rFonts w:ascii="Arial" w:hAnsi="Arial"/>
          <w:sz w:val="16"/>
        </w:rPr>
      </w:pPr>
      <w:r>
        <w:rPr>
          <w:rFonts w:ascii="Arial" w:hAnsi="Arial"/>
          <w:sz w:val="16"/>
        </w:rPr>
        <w:t>Anexos:</w:t>
      </w:r>
      <w:r>
        <w:rPr>
          <w:rFonts w:ascii="Arial" w:hAnsi="Arial"/>
          <w:sz w:val="16"/>
        </w:rPr>
        <w:tab/>
        <w:t>Resoluciones de ordenación del gasto relacionadas.</w:t>
      </w:r>
    </w:p>
    <w:p w14:paraId="34A2F580" w14:textId="77777777" w:rsidR="00401382" w:rsidRDefault="00000000">
      <w:pPr>
        <w:spacing w:after="0" w:line="240" w:lineRule="auto"/>
        <w:jc w:val="both"/>
        <w:rPr>
          <w:rFonts w:ascii="Arial" w:hAnsi="Arial"/>
          <w:sz w:val="16"/>
        </w:rPr>
      </w:pPr>
      <w:r>
        <w:rPr>
          <w:rFonts w:ascii="Arial" w:hAnsi="Arial"/>
          <w:sz w:val="16"/>
        </w:rPr>
        <w:tab/>
        <w:t>Memorando No. 2026-3-001404-012254 del 1 de abril de 2026.</w:t>
      </w:r>
    </w:p>
    <w:p w14:paraId="6AB0FA93" w14:textId="77777777" w:rsidR="00401382" w:rsidRDefault="00000000">
      <w:pPr>
        <w:spacing w:after="0" w:line="240" w:lineRule="auto"/>
        <w:jc w:val="both"/>
        <w:rPr>
          <w:rFonts w:ascii="Arial" w:hAnsi="Arial"/>
          <w:sz w:val="24"/>
        </w:rPr>
      </w:pPr>
      <w:r>
        <w:rPr>
          <w:rFonts w:ascii="Arial" w:hAnsi="Arial"/>
          <w:sz w:val="16"/>
        </w:rPr>
        <w:tab/>
        <w:t>Resolución 0867 del 21 de mayo de 2026 y demás anexos.</w:t>
      </w:r>
    </w:p>
    <w:sectPr w:rsidR="00401382">
      <w:headerReference w:type="even" r:id="rId11"/>
      <w:headerReference w:type="default" r:id="rId12"/>
      <w:footerReference w:type="default" r:id="rId13"/>
      <w:headerReference w:type="first" r:id="rId14"/>
      <w:footerReference w:type="first" r:id="rId15"/>
      <w:pgSz w:w="12240" w:h="15840"/>
      <w:pgMar w:top="1701" w:right="1701" w:bottom="1418" w:left="1701" w:header="454" w:footer="45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EBF2D01" w14:textId="77777777" w:rsidR="00273A49" w:rsidRDefault="00273A49">
      <w:pPr>
        <w:spacing w:after="0" w:line="240" w:lineRule="auto"/>
      </w:pPr>
      <w:r>
        <w:separator/>
      </w:r>
    </w:p>
  </w:endnote>
  <w:endnote w:type="continuationSeparator" w:id="0">
    <w:p w14:paraId="57C7D592" w14:textId="77777777" w:rsidR="00273A49" w:rsidRDefault="00273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Light">
    <w:altName w:val="HELVETICA LIGHT"/>
    <w:panose1 w:val="020B0403020202020204"/>
    <w:charset w:val="00"/>
    <w:family w:val="swiss"/>
    <w:pitch w:val="variable"/>
    <w:sig w:usb0="800000AF" w:usb1="4000204A" w:usb2="00000000" w:usb3="00000000" w:csb0="00000001" w:csb1="00000000"/>
  </w:font>
  <w:font w:name="Work Sans">
    <w:panose1 w:val="00000000000000000000"/>
    <w:charset w:val="4D"/>
    <w:family w:val="auto"/>
    <w:pitch w:val="variable"/>
    <w:sig w:usb0="A00000FF" w:usb1="5000E07B" w:usb2="00000000" w:usb3="00000000" w:csb0="00000193" w:csb1="00000000"/>
  </w:font>
  <w:font w:name="Work Sans SemiBold">
    <w:panose1 w:val="00000000000000000000"/>
    <w:charset w:val="4D"/>
    <w:family w:val="auto"/>
    <w:pitch w:val="variable"/>
    <w:sig w:usb0="A00000FF" w:usb1="5000E07B" w:usb2="00000000" w:usb3="00000000" w:csb0="000001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E32B83F" w14:textId="77777777" w:rsidR="00401382" w:rsidRDefault="00000000">
    <w:pPr>
      <w:pStyle w:val="Piedepgina"/>
      <w:rPr>
        <w:rFonts w:ascii="Work Sans" w:hAnsi="Work Sans"/>
        <w:color w:val="31849B" w:themeColor="accent5" w:themeShade="BF"/>
        <w:sz w:val="16"/>
      </w:rPr>
    </w:pPr>
    <w:r>
      <w:rPr>
        <w:rFonts w:ascii="Work Sans SemiBold" w:hAnsi="Work Sans SemiBold"/>
        <w:color w:val="365F91" w:themeColor="accent1" w:themeShade="BF"/>
        <w:sz w:val="16"/>
      </w:rPr>
      <w:t>Sede Correspondencias</w:t>
    </w:r>
    <w:r>
      <w:rPr>
        <w:rFonts w:ascii="Work Sans" w:hAnsi="Work Sans"/>
        <w:color w:val="365F91" w:themeColor="accent1" w:themeShade="BF"/>
        <w:sz w:val="16"/>
      </w:rPr>
      <w:t xml:space="preserve"> </w:t>
    </w:r>
    <w:r>
      <w:rPr>
        <w:rFonts w:ascii="Work Sans" w:hAnsi="Work Sans"/>
        <w:color w:val="365F91" w:themeColor="accent1" w:themeShade="BF"/>
        <w:sz w:val="16"/>
      </w:rPr>
      <w:tab/>
      <w:t xml:space="preserve">                           </w:t>
    </w:r>
    <w:r>
      <w:rPr>
        <w:rFonts w:ascii="Work Sans SemiBold" w:hAnsi="Work Sans SemiBold"/>
        <w:color w:val="365F91" w:themeColor="accent1" w:themeShade="BF"/>
        <w:sz w:val="16"/>
      </w:rPr>
      <w:t>Servicio al Ciudadano</w:t>
    </w:r>
    <w:r>
      <w:rPr>
        <w:rFonts w:ascii="Work Sans" w:hAnsi="Work Sans"/>
        <w:color w:val="365F91" w:themeColor="accent1" w:themeShade="BF"/>
        <w:sz w:val="16"/>
      </w:rPr>
      <w:t xml:space="preserve"> </w:t>
    </w:r>
    <w:r>
      <w:rPr>
        <w:rFonts w:ascii="Work Sans" w:hAnsi="Work Sans"/>
        <w:color w:val="365F91" w:themeColor="accent1" w:themeShade="BF"/>
        <w:sz w:val="16"/>
      </w:rPr>
      <w:tab/>
    </w:r>
    <w:r>
      <w:rPr>
        <w:rFonts w:ascii="Arial" w:hAnsi="Arial"/>
        <w:i/>
        <w:sz w:val="18"/>
      </w:rPr>
      <w:t xml:space="preserve">Página </w:t>
    </w:r>
    <w:r>
      <w:rPr>
        <w:rFonts w:ascii="Arial" w:hAnsi="Arial"/>
        <w:i/>
        <w:sz w:val="18"/>
      </w:rPr>
      <w:fldChar w:fldCharType="begin"/>
    </w:r>
    <w:r>
      <w:rPr>
        <w:rFonts w:ascii="Arial" w:hAnsi="Arial"/>
        <w:i/>
        <w:sz w:val="18"/>
      </w:rPr>
      <w:instrText xml:space="preserve"> PAGE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r>
      <w:rPr>
        <w:rFonts w:ascii="Arial" w:hAnsi="Arial"/>
        <w:i/>
        <w:sz w:val="18"/>
      </w:rPr>
      <w:t xml:space="preserve"> de </w:t>
    </w:r>
    <w:r>
      <w:rPr>
        <w:rFonts w:ascii="Arial" w:hAnsi="Arial"/>
        <w:i/>
        <w:sz w:val="18"/>
      </w:rPr>
      <w:fldChar w:fldCharType="begin"/>
    </w:r>
    <w:r>
      <w:rPr>
        <w:rFonts w:ascii="Arial" w:hAnsi="Arial"/>
        <w:i/>
        <w:sz w:val="18"/>
      </w:rPr>
      <w:instrText xml:space="preserve"> NUMPAGES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r>
      <w:rPr>
        <w:rFonts w:ascii="Work Sans" w:hAnsi="Work Sans"/>
        <w:color w:val="365F91" w:themeColor="accent1" w:themeShade="BF"/>
        <w:sz w:val="16"/>
      </w:rPr>
      <w:br/>
    </w:r>
    <w:r>
      <w:rPr>
        <w:rFonts w:ascii="Work Sans" w:hAnsi="Work Sans"/>
        <w:color w:val="31849B" w:themeColor="accent5" w:themeShade="BF"/>
        <w:sz w:val="16"/>
      </w:rPr>
      <w:t xml:space="preserve">Edificio Camargo, calle 12B </w:t>
    </w:r>
    <w:proofErr w:type="spellStart"/>
    <w:r>
      <w:rPr>
        <w:rFonts w:ascii="Work Sans" w:hAnsi="Work Sans"/>
        <w:color w:val="31849B" w:themeColor="accent5" w:themeShade="BF"/>
        <w:sz w:val="16"/>
      </w:rPr>
      <w:t>N°</w:t>
    </w:r>
    <w:proofErr w:type="spellEnd"/>
    <w:r>
      <w:rPr>
        <w:rFonts w:ascii="Work Sans" w:hAnsi="Work Sans"/>
        <w:color w:val="31849B" w:themeColor="accent5" w:themeShade="BF"/>
        <w:sz w:val="16"/>
      </w:rPr>
      <w:t xml:space="preserve"> 8-46 </w:t>
    </w:r>
    <w:r>
      <w:rPr>
        <w:rFonts w:ascii="Work Sans" w:hAnsi="Work Sans"/>
        <w:color w:val="31849B" w:themeColor="accent5" w:themeShade="BF"/>
        <w:sz w:val="16"/>
      </w:rPr>
      <w:tab/>
      <w:t xml:space="preserve">                        </w:t>
    </w:r>
    <w:hyperlink r:id="rId1" w:history="1">
      <w:r w:rsidR="00401382">
        <w:rPr>
          <w:rStyle w:val="Hipervnculo"/>
          <w:rFonts w:ascii="Work Sans" w:hAnsi="Work Sans"/>
          <w:sz w:val="16"/>
        </w:rPr>
        <w:t>servicioalciudadano@mininterior.gov.co</w:t>
      </w:r>
    </w:hyperlink>
    <w:r>
      <w:rPr>
        <w:rStyle w:val="Hipervnculo"/>
        <w:rFonts w:ascii="Work Sans" w:hAnsi="Work Sans"/>
        <w:color w:val="31849B" w:themeColor="accent5" w:themeShade="BF"/>
        <w:sz w:val="16"/>
      </w:rPr>
      <w:t xml:space="preserve"> </w:t>
    </w:r>
    <w:r>
      <w:rPr>
        <w:rStyle w:val="Hipervnculo"/>
        <w:rFonts w:ascii="Work Sans" w:hAnsi="Work Sans"/>
        <w:color w:val="31849B" w:themeColor="accent5" w:themeShade="BF"/>
        <w:sz w:val="16"/>
      </w:rPr>
      <w:br/>
    </w:r>
    <w:r>
      <w:rPr>
        <w:rFonts w:ascii="Work Sans" w:hAnsi="Work Sans"/>
        <w:color w:val="31849B" w:themeColor="accent5" w:themeShade="BF"/>
        <w:sz w:val="16"/>
      </w:rPr>
      <w:t xml:space="preserve">Tel: 242 7400.   www.mininterior.gov.co         </w:t>
    </w:r>
    <w:r>
      <w:rPr>
        <w:rFonts w:ascii="Work Sans" w:hAnsi="Work Sans"/>
        <w:color w:val="31849B" w:themeColor="accent5" w:themeShade="BF"/>
        <w:sz w:val="16"/>
      </w:rPr>
      <w:tab/>
      <w:t xml:space="preserve">                      Línea gratuita 01 8000 91 04 03</w:t>
    </w:r>
    <w:r>
      <w:rPr>
        <w:rFonts w:ascii="Work Sans" w:hAnsi="Work Sans"/>
        <w:color w:val="31849B" w:themeColor="accent5" w:themeShade="BF"/>
        <w:sz w:val="16"/>
      </w:rPr>
      <w:br/>
      <w:t>Bogotá, D.C. Colombia – Sur América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6026AE" w14:textId="77777777" w:rsidR="00401382" w:rsidRDefault="00000000">
    <w:pPr>
      <w:pStyle w:val="Piedepgina"/>
      <w:rPr>
        <w:rFonts w:ascii="Work Sans" w:hAnsi="Work Sans"/>
        <w:color w:val="31849B" w:themeColor="accent5" w:themeShade="BF"/>
        <w:sz w:val="16"/>
      </w:rPr>
    </w:pPr>
    <w:r>
      <w:rPr>
        <w:rFonts w:ascii="Work Sans SemiBold" w:hAnsi="Work Sans SemiBold"/>
        <w:color w:val="365F91" w:themeColor="accent1" w:themeShade="BF"/>
        <w:sz w:val="16"/>
      </w:rPr>
      <w:br/>
    </w:r>
    <w:r>
      <w:rPr>
        <w:rFonts w:ascii="Work Sans SemiBold" w:hAnsi="Work Sans SemiBold"/>
        <w:color w:val="365F91" w:themeColor="accent1" w:themeShade="BF"/>
        <w:sz w:val="16"/>
      </w:rPr>
      <w:t>Sede Correspondencias</w:t>
    </w:r>
    <w:r>
      <w:rPr>
        <w:rFonts w:ascii="Work Sans" w:hAnsi="Work Sans"/>
        <w:color w:val="365F91" w:themeColor="accent1" w:themeShade="BF"/>
        <w:sz w:val="16"/>
      </w:rPr>
      <w:t xml:space="preserve"> </w:t>
    </w:r>
    <w:r>
      <w:rPr>
        <w:rFonts w:ascii="Work Sans" w:hAnsi="Work Sans"/>
        <w:color w:val="365F91" w:themeColor="accent1" w:themeShade="BF"/>
        <w:sz w:val="16"/>
      </w:rPr>
      <w:tab/>
      <w:t xml:space="preserve">                           </w:t>
    </w:r>
    <w:r>
      <w:rPr>
        <w:rFonts w:ascii="Work Sans SemiBold" w:hAnsi="Work Sans SemiBold"/>
        <w:color w:val="365F91" w:themeColor="accent1" w:themeShade="BF"/>
        <w:sz w:val="16"/>
      </w:rPr>
      <w:t>Servicio al Ciudadano</w:t>
    </w:r>
    <w:r>
      <w:rPr>
        <w:rFonts w:ascii="Work Sans" w:hAnsi="Work Sans"/>
        <w:color w:val="365F91" w:themeColor="accent1" w:themeShade="BF"/>
        <w:sz w:val="16"/>
      </w:rPr>
      <w:t xml:space="preserve"> </w:t>
    </w:r>
    <w:r>
      <w:rPr>
        <w:rFonts w:ascii="Work Sans" w:hAnsi="Work Sans"/>
        <w:color w:val="365F91" w:themeColor="accent1" w:themeShade="BF"/>
        <w:sz w:val="16"/>
      </w:rPr>
      <w:br/>
    </w:r>
    <w:r>
      <w:rPr>
        <w:rFonts w:ascii="Work Sans" w:hAnsi="Work Sans"/>
        <w:color w:val="31849B" w:themeColor="accent5" w:themeShade="BF"/>
        <w:sz w:val="16"/>
      </w:rPr>
      <w:t xml:space="preserve">Edificio Camargo, calle 12B </w:t>
    </w:r>
    <w:proofErr w:type="spellStart"/>
    <w:r>
      <w:rPr>
        <w:rFonts w:ascii="Work Sans" w:hAnsi="Work Sans"/>
        <w:color w:val="31849B" w:themeColor="accent5" w:themeShade="BF"/>
        <w:sz w:val="16"/>
      </w:rPr>
      <w:t>N°</w:t>
    </w:r>
    <w:proofErr w:type="spellEnd"/>
    <w:r>
      <w:rPr>
        <w:rFonts w:ascii="Work Sans" w:hAnsi="Work Sans"/>
        <w:color w:val="31849B" w:themeColor="accent5" w:themeShade="BF"/>
        <w:sz w:val="16"/>
      </w:rPr>
      <w:t xml:space="preserve"> 8-46 </w:t>
    </w:r>
    <w:r>
      <w:rPr>
        <w:rFonts w:ascii="Work Sans" w:hAnsi="Work Sans"/>
        <w:color w:val="31849B" w:themeColor="accent5" w:themeShade="BF"/>
        <w:sz w:val="16"/>
      </w:rPr>
      <w:tab/>
      <w:t xml:space="preserve">             </w:t>
    </w:r>
    <w:hyperlink r:id="rId1" w:history="1">
      <w:r w:rsidR="00401382">
        <w:rPr>
          <w:rStyle w:val="Hipervnculo"/>
          <w:rFonts w:ascii="Work Sans" w:hAnsi="Work Sans"/>
          <w:sz w:val="16"/>
        </w:rPr>
        <w:t>servicioalciudadano@mininterior.gov.co</w:t>
      </w:r>
    </w:hyperlink>
    <w:r>
      <w:rPr>
        <w:rStyle w:val="Hipervnculo"/>
        <w:rFonts w:ascii="Work Sans" w:hAnsi="Work Sans"/>
        <w:color w:val="31849B" w:themeColor="accent5" w:themeShade="BF"/>
        <w:sz w:val="16"/>
      </w:rPr>
      <w:t xml:space="preserve"> </w:t>
    </w:r>
    <w:r>
      <w:rPr>
        <w:rStyle w:val="Hipervnculo"/>
        <w:rFonts w:ascii="Work Sans" w:hAnsi="Work Sans"/>
        <w:color w:val="31849B" w:themeColor="accent5" w:themeShade="BF"/>
        <w:sz w:val="16"/>
      </w:rPr>
      <w:br/>
    </w:r>
    <w:r>
      <w:rPr>
        <w:rFonts w:ascii="Work Sans" w:hAnsi="Work Sans"/>
        <w:color w:val="31849B" w:themeColor="accent5" w:themeShade="BF"/>
        <w:sz w:val="16"/>
      </w:rPr>
      <w:t>Tel: 242 7400.   www.mininterior.gov.co          Línea gratuita 01 8000 91 04 03</w:t>
    </w:r>
    <w:r>
      <w:rPr>
        <w:rFonts w:ascii="Work Sans" w:hAnsi="Work Sans"/>
        <w:color w:val="31849B" w:themeColor="accent5" w:themeShade="BF"/>
        <w:sz w:val="16"/>
      </w:rPr>
      <w:br/>
      <w:t>Bogotá, D.C. Colombia – Sur América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51033A59" w14:textId="77777777" w:rsidR="00273A49" w:rsidRDefault="00273A49">
      <w:pPr>
        <w:spacing w:after="0" w:line="240" w:lineRule="auto"/>
      </w:pPr>
      <w:r>
        <w:separator/>
      </w:r>
    </w:p>
  </w:footnote>
  <w:footnote w:type="continuationSeparator" w:id="0">
    <w:p w14:paraId="1D16A0DF" w14:textId="77777777" w:rsidR="00273A49" w:rsidRDefault="00273A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BFD4E38" w14:textId="77777777" w:rsidR="00401382" w:rsidRDefault="00401382">
    <w:pPr>
      <w:pStyle w:val="Encabezado"/>
      <w:rPr>
        <w:rFonts w:ascii="Arial" w:hAnsi="Arial"/>
      </w:rPr>
    </w:pPr>
  </w:p>
  <w:p w14:paraId="3FAEB2D4" w14:textId="77777777" w:rsidR="00401382" w:rsidRDefault="00401382">
    <w:pPr>
      <w:pStyle w:val="Encabezado"/>
      <w:rPr>
        <w:rFonts w:ascii="Arial" w:hAnsi="Arial"/>
      </w:rPr>
    </w:pPr>
  </w:p>
  <w:p w14:paraId="2C0F4BDA" w14:textId="77777777" w:rsidR="00401382" w:rsidRDefault="00401382">
    <w:pPr>
      <w:pStyle w:val="Encabezado"/>
      <w:rPr>
        <w:rFonts w:ascii="Arial" w:hAnsi="Arial"/>
      </w:rPr>
    </w:pPr>
  </w:p>
  <w:p w14:paraId="61DDC60E" w14:textId="77777777" w:rsidR="00401382" w:rsidRDefault="00000000">
    <w:pPr>
      <w:pStyle w:val="Encabezado"/>
      <w:spacing w:after="240"/>
      <w:jc w:val="both"/>
      <w:rPr>
        <w:rFonts w:ascii="Arial" w:hAnsi="Arial"/>
        <w:i/>
        <w:sz w:val="18"/>
      </w:rPr>
    </w:pPr>
    <w:r>
      <w:rPr>
        <w:rFonts w:ascii="Arial" w:hAnsi="Arial"/>
        <w:i/>
        <w:sz w:val="18"/>
      </w:rPr>
      <w:t>Continuación [CODE]-DMI-1000</w:t>
    </w:r>
    <w:r>
      <w:rPr>
        <w:rFonts w:ascii="Arial" w:hAnsi="Arial"/>
        <w:i/>
        <w:sz w:val="18"/>
      </w:rPr>
      <w:tab/>
    </w:r>
    <w:r>
      <w:rPr>
        <w:rFonts w:ascii="Arial" w:hAnsi="Arial"/>
        <w:i/>
        <w:sz w:val="18"/>
      </w:rPr>
      <w:tab/>
      <w:t xml:space="preserve">Página </w:t>
    </w:r>
    <w:r>
      <w:rPr>
        <w:rFonts w:ascii="Arial" w:hAnsi="Arial"/>
        <w:i/>
        <w:sz w:val="18"/>
      </w:rPr>
      <w:fldChar w:fldCharType="begin"/>
    </w:r>
    <w:r>
      <w:rPr>
        <w:rFonts w:ascii="Arial" w:hAnsi="Arial"/>
        <w:i/>
        <w:sz w:val="18"/>
      </w:rPr>
      <w:instrText xml:space="preserve"> PAGE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r>
      <w:rPr>
        <w:rFonts w:ascii="Arial" w:hAnsi="Arial"/>
        <w:i/>
        <w:sz w:val="18"/>
      </w:rPr>
      <w:t xml:space="preserve"> de </w:t>
    </w:r>
    <w:r>
      <w:rPr>
        <w:rFonts w:ascii="Arial" w:hAnsi="Arial"/>
        <w:i/>
        <w:sz w:val="18"/>
      </w:rPr>
      <w:fldChar w:fldCharType="begin"/>
    </w:r>
    <w:r>
      <w:rPr>
        <w:rFonts w:ascii="Arial" w:hAnsi="Arial"/>
        <w:i/>
        <w:sz w:val="18"/>
      </w:rPr>
      <w:instrText xml:space="preserve"> NUMPAGES   \* MERGEFORMAT </w:instrText>
    </w:r>
    <w:r>
      <w:rPr>
        <w:rFonts w:ascii="Arial" w:hAnsi="Arial"/>
        <w:i/>
        <w:sz w:val="18"/>
      </w:rPr>
      <w:fldChar w:fldCharType="separate"/>
    </w:r>
    <w:r>
      <w:rPr>
        <w:rFonts w:ascii="Arial" w:hAnsi="Arial"/>
        <w:i/>
        <w:noProof/>
        <w:sz w:val="18"/>
      </w:rPr>
      <w:t>#</w:t>
    </w:r>
    <w:r>
      <w:rPr>
        <w:rFonts w:ascii="Arial" w:hAnsi="Arial"/>
        <w:i/>
        <w:sz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7D247FC" w14:textId="77777777" w:rsidR="00401382" w:rsidRDefault="00401382">
    <w:pPr>
      <w:pStyle w:val="Encabezado"/>
      <w:rPr>
        <w:noProof/>
        <w:lang w:eastAsia="es-CO"/>
      </w:rPr>
    </w:pPr>
  </w:p>
  <w:p w14:paraId="59208D40" w14:textId="77777777" w:rsidR="00401382" w:rsidRDefault="00401382">
    <w:pPr>
      <w:pStyle w:val="Encabezado"/>
      <w:rPr>
        <w:noProof/>
        <w:lang w:eastAsia="es-CO"/>
      </w:rPr>
    </w:pPr>
  </w:p>
  <w:p w14:paraId="50D7B015" w14:textId="77777777" w:rsidR="00401382" w:rsidRDefault="00000000">
    <w:pPr>
      <w:pStyle w:val="Encabezado"/>
      <w:rPr>
        <w:noProof/>
        <w:lang w:eastAsia="es-CO"/>
      </w:rPr>
    </w:pPr>
    <w:r>
      <w:rPr>
        <w:noProof/>
      </w:rPr>
      <w:drawing>
        <wp:anchor distT="0" distB="0" distL="114300" distR="114300" simplePos="0" relativeHeight="251658240" behindDoc="1" locked="0" layoutInCell="1" allowOverlap="1" wp14:anchorId="32CE7D33" wp14:editId="36A5EE8F">
          <wp:simplePos x="0" y="0"/>
          <wp:positionH relativeFrom="column">
            <wp:posOffset>-3810</wp:posOffset>
          </wp:positionH>
          <wp:positionV relativeFrom="paragraph">
            <wp:posOffset>-2540</wp:posOffset>
          </wp:positionV>
          <wp:extent cx="1234440" cy="1057910"/>
          <wp:effectExtent l="0" t="0" r="0" b="0"/>
          <wp:wrapNone/>
          <wp:docPr id="4" name="_x0000_s0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tretch>
                    <a:fillRect/>
                  </a:stretch>
                </pic:blipFill>
                <pic:spPr>
                  <a:xfrm>
                    <a:off x="0" y="0"/>
                    <a:ext cx="1234440" cy="1057910"/>
                  </a:xfrm>
                  <a:prstGeom prst="rect">
                    <a:avLst/>
                  </a:prstGeom>
                  <a:noFill/>
                </pic:spPr>
              </pic:pic>
            </a:graphicData>
          </a:graphic>
        </wp:anchor>
      </w:drawing>
    </w:r>
  </w:p>
  <w:tbl>
    <w:tblPr>
      <w:tblStyle w:val="Tablaconcuadrcula"/>
      <w:tblW w:w="5787" w:type="dxa"/>
      <w:tblInd w:w="4167" w:type="dxa"/>
      <w:tblBorders>
        <w:insideH w:val="none" w:sz="0" w:space="0" w:color="auto"/>
        <w:insideV w:val="none" w:sz="0" w:space="0" w:color="auto"/>
      </w:tblBorders>
      <w:tblLook w:val="04A0" w:firstRow="1" w:lastRow="0" w:firstColumn="1" w:lastColumn="0" w:noHBand="0" w:noVBand="1"/>
    </w:tblPr>
    <w:tblGrid>
      <w:gridCol w:w="4514"/>
      <w:gridCol w:w="1273"/>
    </w:tblGrid>
    <w:tr w:rsidR="00401382" w14:paraId="7BE3A182" w14:textId="77777777">
      <w:trPr>
        <w:trHeight w:val="1034"/>
      </w:trPr>
      <w:tc>
        <w:tcPr>
          <w:tcW w:w="4514" w:type="dxa"/>
        </w:tcPr>
        <w:p w14:paraId="7D8AFBAE" w14:textId="77777777" w:rsidR="00401382" w:rsidRDefault="00000000">
          <w:pPr>
            <w:pStyle w:val="Sinespaciado"/>
            <w:jc w:val="both"/>
            <w:rPr>
              <w:rFonts w:ascii="Helvetica Light" w:hAnsi="Helvetica Light"/>
              <w:sz w:val="14"/>
              <w:lang w:val="pt-BR"/>
            </w:rPr>
          </w:pPr>
          <w:r>
            <w:rPr>
              <w:rFonts w:ascii="Helvetica Light" w:hAnsi="Helvetica Light"/>
              <w:sz w:val="14"/>
              <w:lang w:val="pt-BR"/>
            </w:rPr>
            <w:t>R4D1C4D0_1</w:t>
          </w:r>
        </w:p>
        <w:p w14:paraId="57E62B2F" w14:textId="77777777" w:rsidR="00401382" w:rsidRDefault="00000000">
          <w:pPr>
            <w:pStyle w:val="Sinespaciado"/>
            <w:jc w:val="both"/>
            <w:rPr>
              <w:rFonts w:ascii="Helvetica Light" w:hAnsi="Helvetica Light"/>
              <w:sz w:val="14"/>
              <w:lang w:val="pt-BR"/>
            </w:rPr>
          </w:pPr>
          <w:r>
            <w:rPr>
              <w:rFonts w:ascii="Helvetica Light" w:hAnsi="Helvetica Light"/>
              <w:sz w:val="14"/>
              <w:lang w:val="pt-BR"/>
            </w:rPr>
            <w:t>R4D1C4D0_2</w:t>
          </w:r>
        </w:p>
        <w:p w14:paraId="34139659" w14:textId="77777777" w:rsidR="00401382" w:rsidRDefault="00000000">
          <w:pPr>
            <w:pStyle w:val="Sinespaciado"/>
            <w:jc w:val="both"/>
            <w:rPr>
              <w:rFonts w:ascii="Helvetica Light" w:hAnsi="Helvetica Light"/>
              <w:sz w:val="14"/>
              <w:lang w:val="pt-BR"/>
            </w:rPr>
          </w:pPr>
          <w:r>
            <w:rPr>
              <w:rFonts w:ascii="Helvetica Light" w:hAnsi="Helvetica Light"/>
              <w:sz w:val="14"/>
              <w:lang w:val="pt-BR"/>
            </w:rPr>
            <w:t xml:space="preserve">R4D1C4D0_3                                                                          </w:t>
          </w:r>
        </w:p>
        <w:p w14:paraId="6E7B99DD" w14:textId="77777777" w:rsidR="00401382" w:rsidRDefault="00000000">
          <w:pPr>
            <w:pStyle w:val="Sinespaciado"/>
            <w:jc w:val="both"/>
            <w:rPr>
              <w:rFonts w:ascii="Helvetica Light" w:hAnsi="Helvetica Light"/>
              <w:sz w:val="14"/>
              <w:lang w:val="pt-BR"/>
            </w:rPr>
          </w:pPr>
          <w:r>
            <w:rPr>
              <w:rFonts w:ascii="Helvetica Light" w:hAnsi="Helvetica Light"/>
              <w:sz w:val="14"/>
              <w:lang w:val="pt-BR"/>
            </w:rPr>
            <w:t>R4D1C4D0_4</w:t>
          </w:r>
        </w:p>
        <w:p w14:paraId="16CAA2B5" w14:textId="77777777" w:rsidR="00401382" w:rsidRDefault="00000000">
          <w:pPr>
            <w:pStyle w:val="Encabezado"/>
            <w:rPr>
              <w:rFonts w:ascii="Helvetica Light" w:hAnsi="Helvetica Light"/>
              <w:sz w:val="14"/>
              <w:lang w:val="en-US"/>
            </w:rPr>
          </w:pPr>
          <w:r>
            <w:rPr>
              <w:rFonts w:ascii="Helvetica Light" w:hAnsi="Helvetica Light"/>
              <w:sz w:val="14"/>
              <w:lang w:val="en-US"/>
            </w:rPr>
            <w:t>R4D1C4D0_5</w:t>
          </w:r>
        </w:p>
        <w:p w14:paraId="76D0B11F" w14:textId="77777777" w:rsidR="00401382" w:rsidRDefault="00000000">
          <w:pPr>
            <w:pStyle w:val="Encabezado"/>
          </w:pPr>
          <w:r>
            <w:rPr>
              <w:rFonts w:ascii="Helvetica Light" w:hAnsi="Helvetica Light"/>
              <w:sz w:val="14"/>
            </w:rPr>
            <w:t>R4D1C4D0_6</w:t>
          </w:r>
        </w:p>
      </w:tc>
      <w:tc>
        <w:tcPr>
          <w:tcW w:w="1273" w:type="dxa"/>
        </w:tcPr>
        <w:p w14:paraId="3F27FB62" w14:textId="77777777" w:rsidR="00401382" w:rsidRDefault="00000000">
          <w:pPr>
            <w:pStyle w:val="Encabezado"/>
          </w:pPr>
          <w:r>
            <w:rPr>
              <w:sz w:val="18"/>
            </w:rPr>
            <w:t>QRC0D1G0</w:t>
          </w:r>
        </w:p>
      </w:tc>
    </w:tr>
  </w:tbl>
  <w:p w14:paraId="66B8004B" w14:textId="77777777" w:rsidR="00401382" w:rsidRDefault="00401382">
    <w:pPr>
      <w:pStyle w:val="Encabezado"/>
    </w:pPr>
  </w:p>
  <w:p w14:paraId="3BF0380E" w14:textId="77777777" w:rsidR="00401382" w:rsidRDefault="00401382">
    <w:pPr>
      <w:pStyle w:val="Encabezado"/>
    </w:pPr>
  </w:p>
  <w:p w14:paraId="09A33FC4" w14:textId="77777777" w:rsidR="00401382" w:rsidRDefault="0040138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24C7B34" w14:textId="77777777" w:rsidR="00401382" w:rsidRDefault="00000000">
    <w:pPr>
      <w:pStyle w:val="Encabezado"/>
    </w:pPr>
    <w:r>
      <w:rPr>
        <w:noProof/>
      </w:rPr>
      <w:drawing>
        <wp:inline distT="0" distB="0" distL="0" distR="0" wp14:anchorId="16BDC668" wp14:editId="09715130">
          <wp:extent cx="3086100" cy="525145"/>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1"/>
                  <a:stretch>
                    <a:fillRect/>
                  </a:stretch>
                </pic:blipFill>
                <pic:spPr>
                  <a:xfrm>
                    <a:off x="0" y="0"/>
                    <a:ext cx="3086100" cy="525145"/>
                  </a:xfrm>
                  <a:prstGeom prst="rect">
                    <a:avLst/>
                  </a:prstGeom>
                  <a:noFill/>
                </pic:spPr>
              </pic:pic>
            </a:graphicData>
          </a:graphic>
        </wp:inline>
      </w:drawing>
    </w:r>
    <w:r>
      <w:rPr>
        <w:noProof/>
        <w:lang w:eastAsia="es-CO"/>
      </w:rPr>
      <w:t xml:space="preserve">                      </w:t>
    </w:r>
  </w:p>
  <w:p w14:paraId="2B1F6D5B" w14:textId="77777777" w:rsidR="00401382" w:rsidRDefault="00000000">
    <w:pPr>
      <w:pStyle w:val="Encabezado"/>
    </w:pPr>
    <w:r>
      <w:t xml:space="preserve">                                                                                                                   </w:t>
    </w:r>
  </w:p>
  <w:tbl>
    <w:tblPr>
      <w:tblpPr w:leftFromText="141" w:rightFromText="141" w:vertAnchor="text" w:horzAnchor="page" w:tblpX="7085" w:tblpY="-1250"/>
      <w:tblW w:w="45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537"/>
    </w:tblGrid>
    <w:tr w:rsidR="00401382" w14:paraId="10E876CC" w14:textId="77777777">
      <w:trPr>
        <w:trHeight w:val="1408"/>
      </w:trPr>
      <w:tc>
        <w:tcPr>
          <w:tcW w:w="4537" w:type="dxa"/>
        </w:tcPr>
        <w:p w14:paraId="6FB31260" w14:textId="77777777" w:rsidR="00401382" w:rsidRDefault="00000000">
          <w:pPr>
            <w:pStyle w:val="Encabezado"/>
            <w:tabs>
              <w:tab w:val="clear" w:pos="4419"/>
              <w:tab w:val="left" w:pos="7500"/>
            </w:tabs>
            <w:jc w:val="center"/>
            <w:rPr>
              <w:rFonts w:ascii="Arial" w:hAnsi="Arial"/>
              <w:sz w:val="18"/>
              <w:lang w:val="pt-BR" w:eastAsia="es-CO"/>
            </w:rPr>
          </w:pPr>
          <w:r>
            <w:rPr>
              <w:rFonts w:ascii="Arial" w:hAnsi="Arial"/>
              <w:sz w:val="18"/>
              <w:highlight w:val="white"/>
              <w:lang w:val="pt-BR"/>
            </w:rPr>
            <w:t>R3DkODE-39</w:t>
          </w:r>
        </w:p>
        <w:p w14:paraId="43D4D04E" w14:textId="77777777" w:rsidR="00401382" w:rsidRDefault="00401382">
          <w:pPr>
            <w:pStyle w:val="Encabezado"/>
            <w:tabs>
              <w:tab w:val="clear" w:pos="4419"/>
              <w:tab w:val="left" w:pos="7500"/>
            </w:tabs>
            <w:jc w:val="center"/>
            <w:rPr>
              <w:rFonts w:ascii="Arial" w:hAnsi="Arial"/>
              <w:sz w:val="18"/>
              <w:lang w:val="pt-BR"/>
            </w:rPr>
          </w:pPr>
        </w:p>
        <w:p w14:paraId="56481BAC" w14:textId="77777777" w:rsidR="00401382" w:rsidRDefault="00000000">
          <w:pPr>
            <w:pStyle w:val="Sinespaciado"/>
            <w:jc w:val="both"/>
            <w:rPr>
              <w:rFonts w:ascii="Arial" w:hAnsi="Arial"/>
              <w:sz w:val="14"/>
              <w:lang w:val="pt-BR"/>
            </w:rPr>
          </w:pPr>
          <w:r>
            <w:rPr>
              <w:rFonts w:ascii="Arial" w:hAnsi="Arial"/>
              <w:sz w:val="14"/>
              <w:lang w:val="pt-BR"/>
            </w:rPr>
            <w:t>R4D1C4D0_1</w:t>
          </w:r>
        </w:p>
        <w:p w14:paraId="275A7F6F" w14:textId="77777777" w:rsidR="00401382" w:rsidRDefault="00000000">
          <w:pPr>
            <w:pStyle w:val="Sinespaciado"/>
            <w:jc w:val="both"/>
            <w:rPr>
              <w:rFonts w:ascii="Arial" w:hAnsi="Arial"/>
              <w:sz w:val="14"/>
              <w:lang w:val="pt-BR"/>
            </w:rPr>
          </w:pPr>
          <w:r>
            <w:rPr>
              <w:rFonts w:ascii="Arial" w:hAnsi="Arial"/>
              <w:sz w:val="14"/>
              <w:lang w:val="pt-BR"/>
            </w:rPr>
            <w:t>R4D1C4D0_2</w:t>
          </w:r>
        </w:p>
        <w:p w14:paraId="55D79905" w14:textId="77777777" w:rsidR="00401382" w:rsidRDefault="00000000">
          <w:pPr>
            <w:pStyle w:val="Sinespaciado"/>
            <w:jc w:val="both"/>
            <w:rPr>
              <w:rFonts w:ascii="Arial" w:hAnsi="Arial"/>
              <w:sz w:val="14"/>
              <w:lang w:val="pt-BR"/>
            </w:rPr>
          </w:pPr>
          <w:r>
            <w:rPr>
              <w:rFonts w:ascii="Arial" w:hAnsi="Arial"/>
              <w:sz w:val="14"/>
              <w:lang w:val="pt-BR"/>
            </w:rPr>
            <w:t>R4D1C4D0_3</w:t>
          </w:r>
        </w:p>
        <w:p w14:paraId="4B162A89" w14:textId="77777777" w:rsidR="00401382" w:rsidRDefault="00000000">
          <w:pPr>
            <w:pStyle w:val="Sinespaciado"/>
            <w:jc w:val="both"/>
            <w:rPr>
              <w:rFonts w:ascii="Arial" w:hAnsi="Arial"/>
              <w:sz w:val="14"/>
              <w:lang w:val="pt-BR"/>
            </w:rPr>
          </w:pPr>
          <w:r>
            <w:rPr>
              <w:rFonts w:ascii="Arial" w:hAnsi="Arial"/>
              <w:sz w:val="14"/>
              <w:lang w:val="pt-BR"/>
            </w:rPr>
            <w:t>R4D1C4D0_4</w:t>
          </w:r>
        </w:p>
        <w:p w14:paraId="2C6A9BD1" w14:textId="77777777" w:rsidR="00401382" w:rsidRDefault="00000000">
          <w:pPr>
            <w:pStyle w:val="Encabezado"/>
          </w:pPr>
          <w:r>
            <w:rPr>
              <w:rFonts w:ascii="Arial" w:hAnsi="Arial"/>
              <w:sz w:val="14"/>
            </w:rPr>
            <w:t>R4D1C4D0_5</w:t>
          </w:r>
        </w:p>
      </w:tc>
    </w:tr>
  </w:tbl>
  <w:p w14:paraId="412229BB" w14:textId="77777777" w:rsidR="00401382" w:rsidRDefault="0040138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CA38C4"/>
    <w:multiLevelType w:val="multilevel"/>
    <w:tmpl w:val="5FC6CD8A"/>
    <w:lvl w:ilvl="0">
      <w:start w:val="1"/>
      <w:numFmt w:val="decimal"/>
      <w:lvlText w:val="%1."/>
      <w:lvlJc w:val="left"/>
      <w:pPr>
        <w:ind w:left="720" w:hanging="360"/>
      </w:pPr>
      <w:rPr>
        <w:rFonts w:ascii="Times New Roman" w:hAnsi="Times New Roman"/>
      </w:rPr>
    </w:lvl>
    <w:lvl w:ilvl="1">
      <w:start w:val="1"/>
      <w:numFmt w:val="lowerLetter"/>
      <w:lvlText w:val="%2."/>
      <w:lvlJc w:val="right"/>
      <w:pPr>
        <w:ind w:left="1440" w:hanging="360"/>
      </w:pPr>
      <w:rPr>
        <w:rFonts w:ascii="Times New Roman" w:hAnsi="Times New Roman"/>
      </w:rPr>
    </w:lvl>
    <w:lvl w:ilvl="2">
      <w:start w:val="1"/>
      <w:numFmt w:val="lowerRoman"/>
      <w:lvlText w:val="%3."/>
      <w:lvlJc w:val="left"/>
      <w:pPr>
        <w:ind w:left="2160" w:hanging="360"/>
      </w:pPr>
      <w:rPr>
        <w:rFonts w:ascii="Times New Roman" w:hAnsi="Times New Roman"/>
      </w:rPr>
    </w:lvl>
    <w:lvl w:ilvl="3">
      <w:start w:val="1"/>
      <w:numFmt w:val="decimal"/>
      <w:lvlText w:val="%4."/>
      <w:lvlJc w:val="left"/>
      <w:pPr>
        <w:ind w:left="2880" w:hanging="360"/>
      </w:pPr>
      <w:rPr>
        <w:rFonts w:ascii="Times New Roman" w:hAnsi="Times New Roman"/>
      </w:rPr>
    </w:lvl>
    <w:lvl w:ilvl="4">
      <w:start w:val="1"/>
      <w:numFmt w:val="lowerLetter"/>
      <w:lvlText w:val="%5."/>
      <w:lvlJc w:val="right"/>
      <w:pPr>
        <w:ind w:left="3600" w:hanging="360"/>
      </w:pPr>
      <w:rPr>
        <w:rFonts w:ascii="Times New Roman" w:hAnsi="Times New Roman"/>
      </w:rPr>
    </w:lvl>
    <w:lvl w:ilvl="5">
      <w:start w:val="1"/>
      <w:numFmt w:val="lowerRoman"/>
      <w:lvlText w:val="%6."/>
      <w:lvlJc w:val="left"/>
      <w:pPr>
        <w:ind w:left="4320" w:hanging="360"/>
      </w:pPr>
      <w:rPr>
        <w:rFonts w:ascii="Times New Roman" w:hAnsi="Times New Roman"/>
      </w:rPr>
    </w:lvl>
    <w:lvl w:ilvl="6">
      <w:start w:val="1"/>
      <w:numFmt w:val="decimal"/>
      <w:lvlText w:val="%7."/>
      <w:lvlJc w:val="left"/>
      <w:pPr>
        <w:ind w:left="5040" w:hanging="360"/>
      </w:pPr>
      <w:rPr>
        <w:rFonts w:ascii="Times New Roman" w:hAnsi="Times New Roman"/>
      </w:rPr>
    </w:lvl>
    <w:lvl w:ilvl="7">
      <w:start w:val="1"/>
      <w:numFmt w:val="lowerLetter"/>
      <w:lvlText w:val="%8."/>
      <w:lvlJc w:val="right"/>
      <w:pPr>
        <w:ind w:left="5760" w:hanging="360"/>
      </w:pPr>
      <w:rPr>
        <w:rFonts w:ascii="Times New Roman" w:hAnsi="Times New Roman"/>
      </w:rPr>
    </w:lvl>
    <w:lvl w:ilvl="8">
      <w:start w:val="1"/>
      <w:numFmt w:val="lowerRoman"/>
      <w:lvlText w:val="%9."/>
      <w:lvlJc w:val="left"/>
      <w:pPr>
        <w:ind w:left="6480" w:hanging="360"/>
      </w:pPr>
      <w:rPr>
        <w:rFonts w:ascii="Times New Roman" w:hAnsi="Times New Roman"/>
      </w:rPr>
    </w:lvl>
  </w:abstractNum>
  <w:abstractNum w:abstractNumId="1" w15:restartNumberingAfterBreak="0">
    <w:nsid w:val="00F17FCD"/>
    <w:multiLevelType w:val="multilevel"/>
    <w:tmpl w:val="D2F8FDC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 w15:restartNumberingAfterBreak="0">
    <w:nsid w:val="0B781484"/>
    <w:multiLevelType w:val="multilevel"/>
    <w:tmpl w:val="CF04541E"/>
    <w:lvl w:ilvl="0">
      <w:start w:val="1"/>
      <w:numFmt w:val="decimal"/>
      <w:lvlText w:val="%1."/>
      <w:lvlJc w:val="left"/>
      <w:pPr>
        <w:ind w:left="720" w:hanging="360"/>
      </w:pPr>
      <w:rPr>
        <w:rFonts w:ascii="Times New Roman" w:hAnsi="Times New Roman"/>
      </w:rPr>
    </w:lvl>
    <w:lvl w:ilvl="1">
      <w:start w:val="1"/>
      <w:numFmt w:val="lowerLetter"/>
      <w:lvlText w:val="%2."/>
      <w:lvlJc w:val="right"/>
      <w:pPr>
        <w:ind w:left="1440" w:hanging="360"/>
      </w:pPr>
      <w:rPr>
        <w:rFonts w:ascii="Times New Roman" w:hAnsi="Times New Roman"/>
      </w:rPr>
    </w:lvl>
    <w:lvl w:ilvl="2">
      <w:start w:val="1"/>
      <w:numFmt w:val="lowerRoman"/>
      <w:lvlText w:val="%3."/>
      <w:lvlJc w:val="left"/>
      <w:pPr>
        <w:ind w:left="2160" w:hanging="360"/>
      </w:pPr>
      <w:rPr>
        <w:rFonts w:ascii="Times New Roman" w:hAnsi="Times New Roman"/>
      </w:rPr>
    </w:lvl>
    <w:lvl w:ilvl="3">
      <w:start w:val="1"/>
      <w:numFmt w:val="decimal"/>
      <w:lvlText w:val="%4."/>
      <w:lvlJc w:val="left"/>
      <w:pPr>
        <w:ind w:left="2880" w:hanging="360"/>
      </w:pPr>
      <w:rPr>
        <w:rFonts w:ascii="Times New Roman" w:hAnsi="Times New Roman"/>
      </w:rPr>
    </w:lvl>
    <w:lvl w:ilvl="4">
      <w:start w:val="1"/>
      <w:numFmt w:val="lowerLetter"/>
      <w:lvlText w:val="%5."/>
      <w:lvlJc w:val="right"/>
      <w:pPr>
        <w:ind w:left="3600" w:hanging="360"/>
      </w:pPr>
      <w:rPr>
        <w:rFonts w:ascii="Times New Roman" w:hAnsi="Times New Roman"/>
      </w:rPr>
    </w:lvl>
    <w:lvl w:ilvl="5">
      <w:start w:val="1"/>
      <w:numFmt w:val="lowerRoman"/>
      <w:lvlText w:val="%6."/>
      <w:lvlJc w:val="left"/>
      <w:pPr>
        <w:ind w:left="4320" w:hanging="360"/>
      </w:pPr>
      <w:rPr>
        <w:rFonts w:ascii="Times New Roman" w:hAnsi="Times New Roman"/>
      </w:rPr>
    </w:lvl>
    <w:lvl w:ilvl="6">
      <w:start w:val="1"/>
      <w:numFmt w:val="decimal"/>
      <w:lvlText w:val="%7."/>
      <w:lvlJc w:val="left"/>
      <w:pPr>
        <w:ind w:left="5040" w:hanging="360"/>
      </w:pPr>
      <w:rPr>
        <w:rFonts w:ascii="Times New Roman" w:hAnsi="Times New Roman"/>
      </w:rPr>
    </w:lvl>
    <w:lvl w:ilvl="7">
      <w:start w:val="1"/>
      <w:numFmt w:val="lowerLetter"/>
      <w:lvlText w:val="%8."/>
      <w:lvlJc w:val="right"/>
      <w:pPr>
        <w:ind w:left="5760" w:hanging="360"/>
      </w:pPr>
      <w:rPr>
        <w:rFonts w:ascii="Times New Roman" w:hAnsi="Times New Roman"/>
      </w:rPr>
    </w:lvl>
    <w:lvl w:ilvl="8">
      <w:start w:val="1"/>
      <w:numFmt w:val="lowerRoman"/>
      <w:lvlText w:val="%9."/>
      <w:lvlJc w:val="left"/>
      <w:pPr>
        <w:ind w:left="6480" w:hanging="360"/>
      </w:pPr>
      <w:rPr>
        <w:rFonts w:ascii="Times New Roman" w:hAnsi="Times New Roman"/>
      </w:rPr>
    </w:lvl>
  </w:abstractNum>
  <w:abstractNum w:abstractNumId="3" w15:restartNumberingAfterBreak="0">
    <w:nsid w:val="33033352"/>
    <w:multiLevelType w:val="multilevel"/>
    <w:tmpl w:val="9DD0B5DE"/>
    <w:lvl w:ilvl="0">
      <w:start w:val="1"/>
      <w:numFmt w:val="bullet"/>
      <w:lvlText w:val="-"/>
      <w:lvlJc w:val="left"/>
      <w:pPr>
        <w:ind w:left="720" w:hanging="360"/>
      </w:pPr>
      <w:rPr>
        <w:rFonts w:ascii="Arial" w:hAnsi="Arial"/>
        <w:b/>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4" w15:restartNumberingAfterBreak="0">
    <w:nsid w:val="34671B95"/>
    <w:multiLevelType w:val="multilevel"/>
    <w:tmpl w:val="A8541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5712757"/>
    <w:multiLevelType w:val="multilevel"/>
    <w:tmpl w:val="BA34F2A8"/>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num w:numId="1" w16cid:durableId="1017925573">
    <w:abstractNumId w:val="2"/>
  </w:num>
  <w:num w:numId="2" w16cid:durableId="954873256">
    <w:abstractNumId w:val="5"/>
  </w:num>
  <w:num w:numId="3" w16cid:durableId="2007980326">
    <w:abstractNumId w:val="0"/>
  </w:num>
  <w:num w:numId="4" w16cid:durableId="696155638">
    <w:abstractNumId w:val="1"/>
  </w:num>
  <w:num w:numId="5" w16cid:durableId="259803778">
    <w:abstractNumId w:val="3"/>
  </w:num>
  <w:num w:numId="6" w16cid:durableId="1618172573">
    <w:abstractNumId w:val="4"/>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9"/>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382"/>
    <w:rsid w:val="00171B44"/>
    <w:rsid w:val="00273A49"/>
    <w:rsid w:val="002B27A8"/>
    <w:rsid w:val="00401382"/>
    <w:rsid w:val="00531920"/>
    <w:rsid w:val="00585CE8"/>
    <w:rsid w:val="0062745C"/>
    <w:rsid w:val="00836187"/>
    <w:rsid w:val="008833E8"/>
    <w:rsid w:val="0088799B"/>
    <w:rsid w:val="008A4346"/>
    <w:rsid w:val="00DC7430"/>
    <w:rsid w:val="00E21B5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4:docId w14:val="64EDC7DD"/>
  <w15:docId w15:val="{3E225722-3B21-4248-A98B-FD1D6F32F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Times New Roman" w:hAnsi="Calibri" w:cs="Times New Roman"/>
        <w:sz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qFormat/>
    <w:pPr>
      <w:tabs>
        <w:tab w:val="center" w:pos="4419"/>
        <w:tab w:val="right" w:pos="8838"/>
      </w:tabs>
      <w:spacing w:after="0" w:line="240" w:lineRule="auto"/>
    </w:pPr>
  </w:style>
  <w:style w:type="paragraph" w:styleId="Piedepgina">
    <w:name w:val="footer"/>
    <w:basedOn w:val="Normal"/>
    <w:link w:val="PiedepginaCar"/>
    <w:qFormat/>
    <w:pPr>
      <w:tabs>
        <w:tab w:val="center" w:pos="4419"/>
        <w:tab w:val="right" w:pos="8838"/>
      </w:tabs>
      <w:spacing w:after="0" w:line="240" w:lineRule="auto"/>
    </w:pPr>
  </w:style>
  <w:style w:type="paragraph" w:styleId="Prrafodelista">
    <w:name w:val="List Paragraph"/>
    <w:basedOn w:val="Normal"/>
    <w:qFormat/>
    <w:pPr>
      <w:spacing w:after="0" w:line="240" w:lineRule="auto"/>
      <w:ind w:left="720"/>
      <w:contextualSpacing/>
    </w:pPr>
    <w:rPr>
      <w:rFonts w:ascii="Times New Roman" w:hAnsi="Times New Roman"/>
      <w:sz w:val="24"/>
      <w:lang w:val="es-ES" w:eastAsia="es-ES"/>
    </w:rPr>
  </w:style>
  <w:style w:type="paragraph" w:styleId="Textodeglobo">
    <w:name w:val="Balloon Text"/>
    <w:basedOn w:val="Normal"/>
    <w:link w:val="TextodegloboCar"/>
    <w:semiHidden/>
    <w:pPr>
      <w:spacing w:after="0" w:line="240" w:lineRule="auto"/>
    </w:pPr>
    <w:rPr>
      <w:rFonts w:ascii="Tahoma" w:hAnsi="Tahoma"/>
      <w:sz w:val="16"/>
    </w:rPr>
  </w:style>
  <w:style w:type="paragraph" w:styleId="Textoindependiente">
    <w:name w:val="Body Text"/>
    <w:basedOn w:val="Normal"/>
    <w:link w:val="TextoindependienteCar"/>
    <w:pPr>
      <w:spacing w:after="0" w:line="240" w:lineRule="auto"/>
      <w:jc w:val="both"/>
    </w:pPr>
    <w:rPr>
      <w:rFonts w:ascii="Arial" w:hAnsi="Arial"/>
      <w:sz w:val="24"/>
      <w:lang w:val="es-ES" w:eastAsia="es-ES"/>
    </w:rPr>
  </w:style>
  <w:style w:type="paragraph" w:styleId="Sinespaciado">
    <w:name w:val="No Spacing"/>
    <w:link w:val="SinespaciadoCar"/>
    <w:qFormat/>
    <w:pPr>
      <w:spacing w:after="0" w:line="240" w:lineRule="auto"/>
    </w:pPr>
  </w:style>
  <w:style w:type="paragraph" w:styleId="NormalWeb">
    <w:name w:val="Normal (Web)"/>
    <w:basedOn w:val="Normal"/>
    <w:semiHidden/>
    <w:pPr>
      <w:spacing w:before="100" w:beforeAutospacing="1" w:after="100" w:afterAutospacing="1" w:line="240" w:lineRule="auto"/>
    </w:pPr>
    <w:rPr>
      <w:rFonts w:ascii="Times New Roman" w:hAnsi="Times New Roman"/>
      <w:sz w:val="24"/>
      <w:lang w:eastAsia="es-CO"/>
    </w:rPr>
  </w:style>
  <w:style w:type="character" w:styleId="Nmerodelnea">
    <w:name w:val="line number"/>
    <w:basedOn w:val="Fuentedeprrafopredeter"/>
    <w:semiHidden/>
  </w:style>
  <w:style w:type="character" w:styleId="Hipervnculo">
    <w:name w:val="Hyperlink"/>
    <w:basedOn w:val="Fuentedeprrafopredeter"/>
    <w:rPr>
      <w:color w:val="0000FF" w:themeColor="hyperlink"/>
      <w:u w:val="single"/>
    </w:rPr>
  </w:style>
  <w:style w:type="character" w:customStyle="1" w:styleId="LineNumber0">
    <w:name w:val="Line Number_0"/>
    <w:basedOn w:val="Fuentedeprrafopredeter"/>
    <w:semiHidden/>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TextodegloboCar">
    <w:name w:val="Texto de globo Car"/>
    <w:basedOn w:val="Fuentedeprrafopredeter"/>
    <w:link w:val="Textodeglobo"/>
    <w:semiHidden/>
    <w:rPr>
      <w:rFonts w:ascii="Tahoma" w:hAnsi="Tahoma"/>
      <w:sz w:val="16"/>
    </w:rPr>
  </w:style>
  <w:style w:type="character" w:customStyle="1" w:styleId="TextoindependienteCar">
    <w:name w:val="Texto independiente Car"/>
    <w:basedOn w:val="Fuentedeprrafopredeter"/>
    <w:link w:val="Textoindependiente"/>
    <w:rPr>
      <w:rFonts w:ascii="Arial" w:hAnsi="Arial"/>
      <w:sz w:val="24"/>
      <w:lang w:val="es-ES" w:eastAsia="es-ES"/>
    </w:rPr>
  </w:style>
  <w:style w:type="character" w:customStyle="1" w:styleId="SinespaciadoCar">
    <w:name w:val="Sin espaciado Car"/>
    <w:link w:val="Sinespaciado"/>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claude-response-body">
    <w:name w:val="font-claude-response-body"/>
    <w:basedOn w:val="Normal"/>
    <w:rsid w:val="00E21B5C"/>
    <w:pPr>
      <w:spacing w:before="100" w:beforeAutospacing="1" w:after="100" w:afterAutospacing="1" w:line="240" w:lineRule="auto"/>
    </w:pPr>
    <w:rPr>
      <w:rFonts w:ascii="Times New Roman" w:hAnsi="Times New Roman"/>
      <w:sz w:val="24"/>
      <w:szCs w:val="24"/>
      <w:lang w:eastAsia="es-MX"/>
    </w:rPr>
  </w:style>
  <w:style w:type="character" w:styleId="Fuerte">
    <w:name w:val="Strong"/>
    <w:basedOn w:val="Fuentedeprrafopredeter"/>
    <w:uiPriority w:val="22"/>
    <w:qFormat/>
    <w:rsid w:val="00E21B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51671168">
      <w:bodyDiv w:val="1"/>
      <w:marLeft w:val="0"/>
      <w:marRight w:val="0"/>
      <w:marTop w:val="0"/>
      <w:marBottom w:val="0"/>
      <w:divBdr>
        <w:top w:val="none" w:sz="0" w:space="0" w:color="auto"/>
        <w:left w:val="none" w:sz="0" w:space="0" w:color="auto"/>
        <w:bottom w:val="none" w:sz="0" w:space="0" w:color="auto"/>
        <w:right w:val="none" w:sz="0" w:space="0" w:color="auto"/>
      </w:divBdr>
    </w:div>
    <w:div w:id="333992146">
      <w:bodyDiv w:val="1"/>
      <w:marLeft w:val="0"/>
      <w:marRight w:val="0"/>
      <w:marTop w:val="0"/>
      <w:marBottom w:val="0"/>
      <w:divBdr>
        <w:top w:val="none" w:sz="0" w:space="0" w:color="auto"/>
        <w:left w:val="none" w:sz="0" w:space="0" w:color="auto"/>
        <w:bottom w:val="none" w:sz="0" w:space="0" w:color="auto"/>
        <w:right w:val="none" w:sz="0" w:space="0" w:color="auto"/>
      </w:divBdr>
    </w:div>
    <w:div w:id="800535564">
      <w:bodyDiv w:val="1"/>
      <w:marLeft w:val="0"/>
      <w:marRight w:val="0"/>
      <w:marTop w:val="0"/>
      <w:marBottom w:val="0"/>
      <w:divBdr>
        <w:top w:val="none" w:sz="0" w:space="0" w:color="auto"/>
        <w:left w:val="none" w:sz="0" w:space="0" w:color="auto"/>
        <w:bottom w:val="none" w:sz="0" w:space="0" w:color="auto"/>
        <w:right w:val="none" w:sz="0" w:space="0" w:color="auto"/>
      </w:divBdr>
    </w:div>
    <w:div w:id="1361737968">
      <w:bodyDiv w:val="1"/>
      <w:marLeft w:val="0"/>
      <w:marRight w:val="0"/>
      <w:marTop w:val="0"/>
      <w:marBottom w:val="0"/>
      <w:divBdr>
        <w:top w:val="none" w:sz="0" w:space="0" w:color="auto"/>
        <w:left w:val="none" w:sz="0" w:space="0" w:color="auto"/>
        <w:bottom w:val="none" w:sz="0" w:space="0" w:color="auto"/>
        <w:right w:val="none" w:sz="0" w:space="0" w:color="auto"/>
      </w:divBdr>
    </w:div>
    <w:div w:id="18864778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hyperlink" Target="mailto:servicioalciudadano@mininterior.gov.co"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servicioalciudadano@mininterior.gov.c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6.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2667</Words>
  <Characters>14323</Characters>
  <Application>Microsoft Office Word</Application>
  <DocSecurity>0</DocSecurity>
  <Lines>280</Lines>
  <Paragraphs>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Iana Kalioujnaia</dc:creator>
  <cp:lastModifiedBy>alejandro franco castaño</cp:lastModifiedBy>
  <cp:revision>2</cp:revision>
  <cp:lastPrinted>2016-11-18T22:56:00Z</cp:lastPrinted>
  <dcterms:created xsi:type="dcterms:W3CDTF">2026-06-19T00:00:00Z</dcterms:created>
  <dcterms:modified xsi:type="dcterms:W3CDTF">2026-06-19T00:00:00Z</dcterms:modified>
</cp:coreProperties>
</file>